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2023年人工智能人脸识别防护系统建设</w:t>
      </w:r>
    </w:p>
    <w:p>
      <w:pPr>
        <w:pStyle w:val="null3"/>
        <w:jc w:val="center"/>
        <w:outlineLvl w:val="2"/>
      </w:pPr>
      <w:r>
        <w:rPr>
          <w:b/>
          <w:sz w:val="28"/>
        </w:rPr>
        <w:t>备案编号：</w:t>
      </w:r>
      <w:r>
        <w:rPr>
          <w:b/>
          <w:sz w:val="28"/>
        </w:rPr>
        <w:t>CGXM-2023-350101-06037[2023]03622</w:t>
      </w:r>
    </w:p>
    <w:p>
      <w:pPr>
        <w:pStyle w:val="null3"/>
        <w:jc w:val="center"/>
        <w:outlineLvl w:val="2"/>
      </w:pPr>
      <w:r>
        <w:rPr>
          <w:b/>
          <w:sz w:val="28"/>
        </w:rPr>
        <w:t>项目编号：</w:t>
      </w:r>
      <w:r>
        <w:rPr>
          <w:b/>
          <w:sz w:val="28"/>
        </w:rPr>
        <w:t>[350101]HHTC[GK]2023002</w:t>
      </w:r>
    </w:p>
    <w:p>
      <w:pPr>
        <w:pStyle w:val="null3"/>
        <w:jc w:val="center"/>
        <w:outlineLvl w:val="2"/>
      </w:pPr>
      <w:r>
        <w:rPr>
          <w:b/>
          <w:sz w:val="28"/>
        </w:rPr>
        <w:t>采购人：</w:t>
      </w:r>
      <w:r>
        <w:rPr>
          <w:b/>
          <w:sz w:val="28"/>
        </w:rPr>
        <w:t>福州机电工程职业技术学校</w:t>
      </w:r>
    </w:p>
    <w:p>
      <w:pPr>
        <w:pStyle w:val="null3"/>
        <w:jc w:val="center"/>
        <w:outlineLvl w:val="2"/>
      </w:pPr>
      <w:r>
        <w:rPr>
          <w:b/>
          <w:sz w:val="28"/>
        </w:rPr>
        <w:t>代理机构：</w:t>
      </w:r>
      <w:r>
        <w:rPr>
          <w:b/>
          <w:sz w:val="28"/>
        </w:rPr>
        <w:t>福建禾海天成项目管理有限公司</w:t>
      </w:r>
    </w:p>
    <w:p>
      <w:pPr>
        <w:pStyle w:val="null3"/>
        <w:jc w:val="center"/>
        <w:outlineLvl w:val="2"/>
      </w:pPr>
      <w:r>
        <w:rPr>
          <w:b/>
          <w:sz w:val="28"/>
        </w:rPr>
        <w:t>编制时间</w:t>
      </w:r>
      <w:r>
        <w:rPr>
          <w:b/>
          <w:sz w:val="28"/>
        </w:rPr>
        <w:t>：</w:t>
      </w:r>
      <w:r>
        <w:rPr>
          <w:b/>
          <w:sz w:val="28"/>
        </w:rPr>
        <w:t>2023年08月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福建禾海天成项目管理有限公司</w:t>
      </w:r>
      <w:r>
        <w:rPr/>
        <w:t>采用公开招标方式组织</w:t>
      </w:r>
      <w:r>
        <w:rPr/>
        <w:t>2023年人工智能人脸识别防护系统建设</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CGXM-2023-350101-06037[2023]03622</w:t>
      </w:r>
    </w:p>
    <w:p>
      <w:pPr>
        <w:pStyle w:val="null3"/>
        <w:ind w:firstLine="480"/>
        <w:jc w:val="left"/>
        <w:outlineLvl w:val="2"/>
      </w:pPr>
      <w:r>
        <w:rPr>
          <w:b/>
          <w:sz w:val="28"/>
        </w:rPr>
        <w:t>2、项目编号</w:t>
      </w:r>
      <w:r>
        <w:rPr>
          <w:b/>
          <w:sz w:val="28"/>
        </w:rPr>
        <w:t>：</w:t>
      </w:r>
      <w:r>
        <w:rPr>
          <w:b/>
          <w:sz w:val="28"/>
        </w:rPr>
        <w:t>[350101]HHTC[GK]2023002</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国务院办公厅关于建立政府强制采购节能产品制度的通知》国办发[2007]51号、财政部国家发展改革委关于印发《节能产品政府采购实施意见》的通知(财库[2004]185号)、财政部发展改革委生态环境部市场监管总局印发《关于调整优化节能产品、环境标志产品政府采购执行机制的通知》(财库〔2019〕9号)</w:t>
      </w:r>
    </w:p>
    <w:p>
      <w:pPr>
        <w:pStyle w:val="null3"/>
        <w:ind w:firstLine="960"/>
        <w:jc w:val="left"/>
      </w:pPr>
      <w:r>
        <w:rPr/>
        <w:t>环境标志产品：</w:t>
      </w:r>
      <w:r>
        <w:rPr/>
        <w:t>财政部发展改革委生态环境部市场监管总局印发《关于调整优化节能产品、环境标志产品政府采购执行机制的通知》(财库〔2019〕9号)、《关于印发环境标志产品政府采购品目清单的通知》财库〔2019〕18号和《关于印发节能产品政府采购品目清单的通知》(财库〔2019〕19号)</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一般资格证明文件：财务状况报告、依法缴纳税收和依法缴纳社会保障资金的相关材料要求</w:t>
            </w:r>
          </w:p>
        </w:tc>
        <w:tc>
          <w:tcPr>
            <w:tcW w:type="dxa" w:w="4614"/>
          </w:tcPr>
          <w:p>
            <w:pPr>
              <w:pStyle w:val="null3"/>
              <w:jc w:val="left"/>
            </w:pPr>
            <w:r>
              <w:rPr/>
              <w:t>供应商可按文件“①一般资格证明文件”要求提供相关证明材料或根据榕财采（2021）52号的要求提供资格承诺函 （承诺函格式详见招标内容及要求 四、其他事项 附件1）。 若提供资格承诺函，无需再提交财务状况、缴纳税收和社保资金缴纳等证明材料。采购人有权在签订合同前要求成交人提供相关证明材料以核实成交人承诺事项的真实性。投标人应当遵循诚实守信的原则，不得作出虚假承诺，承诺不实的，属于提供虚假材料谋取中标、成交，依法追究相关的法律责任。 ★文件中“①一般资格证明文件”要求与本条款要求不一致的，以本条款要求为准。</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福州机电工程职业技术学校</w:t>
      </w:r>
    </w:p>
    <w:p>
      <w:pPr>
        <w:pStyle w:val="null3"/>
        <w:ind w:firstLine="960"/>
        <w:jc w:val="left"/>
      </w:pPr>
    </w:p>
    <w:p>
      <w:pPr>
        <w:pStyle w:val="null3"/>
        <w:jc w:val="left"/>
      </w:pPr>
    </w:p>
    <w:p>
      <w:pPr>
        <w:pStyle w:val="null3"/>
        <w:jc w:val="left"/>
      </w:pPr>
      <w:r>
        <w:rPr/>
        <w:t>地址：</w:t>
      </w:r>
      <w:r>
        <w:rPr/>
        <w:t>福州市晋安区远洋路58-1</w:t>
      </w:r>
    </w:p>
    <w:p>
      <w:pPr>
        <w:pStyle w:val="null3"/>
        <w:jc w:val="left"/>
      </w:pPr>
      <w:r>
        <w:rPr/>
        <w:t>邮编：</w:t>
      </w:r>
      <w:r>
        <w:rPr/>
        <w:t>350001</w:t>
      </w:r>
    </w:p>
    <w:p>
      <w:pPr>
        <w:pStyle w:val="null3"/>
        <w:jc w:val="left"/>
      </w:pPr>
      <w:r>
        <w:rPr/>
        <w:t>联系人：</w:t>
      </w:r>
      <w:r>
        <w:rPr/>
        <w:t>陈发彬</w:t>
      </w:r>
    </w:p>
    <w:p>
      <w:pPr>
        <w:pStyle w:val="null3"/>
        <w:jc w:val="left"/>
      </w:pPr>
      <w:r>
        <w:rPr/>
        <w:t>联系电话：</w:t>
      </w:r>
      <w:r>
        <w:rPr/>
        <w:t>15959069020</w:t>
      </w:r>
    </w:p>
    <w:p>
      <w:pPr>
        <w:pStyle w:val="null3"/>
        <w:ind w:firstLine="480"/>
        <w:jc w:val="left"/>
        <w:outlineLvl w:val="2"/>
      </w:pPr>
      <w:r>
        <w:rPr>
          <w:b/>
          <w:sz w:val="28"/>
        </w:rPr>
        <w:t>12、代理机构</w:t>
      </w:r>
      <w:r>
        <w:rPr>
          <w:b/>
          <w:sz w:val="28"/>
        </w:rPr>
        <w:t>：</w:t>
      </w:r>
      <w:r>
        <w:rPr>
          <w:b/>
          <w:sz w:val="28"/>
        </w:rPr>
        <w:t>福建禾海天成项目管理有限公司</w:t>
      </w:r>
    </w:p>
    <w:p>
      <w:pPr>
        <w:pStyle w:val="null3"/>
        <w:ind w:firstLine="960"/>
        <w:jc w:val="both"/>
      </w:pPr>
    </w:p>
    <w:p>
      <w:pPr>
        <w:pStyle w:val="null3"/>
        <w:jc w:val="both"/>
      </w:pPr>
    </w:p>
    <w:p>
      <w:pPr>
        <w:pStyle w:val="null3"/>
        <w:jc w:val="both"/>
      </w:pPr>
      <w:r>
        <w:rPr/>
        <w:t>地址：</w:t>
      </w:r>
      <w:r>
        <w:rPr/>
        <w:t>华大街道鼓屏路192号山海大厦南楼6层</w:t>
      </w:r>
    </w:p>
    <w:p>
      <w:pPr>
        <w:pStyle w:val="null3"/>
        <w:jc w:val="both"/>
      </w:pPr>
      <w:r>
        <w:rPr/>
        <w:t>邮编：</w:t>
      </w:r>
      <w:r>
        <w:rPr/>
        <w:t>350001</w:t>
      </w:r>
    </w:p>
    <w:p>
      <w:pPr>
        <w:pStyle w:val="null3"/>
        <w:jc w:val="both"/>
      </w:pPr>
      <w:r>
        <w:rPr/>
        <w:t>联系人：</w:t>
      </w:r>
      <w:r>
        <w:rPr/>
        <w:t>陈玉兰、马北美、张晓兰</w:t>
      </w:r>
    </w:p>
    <w:p>
      <w:pPr>
        <w:pStyle w:val="null3"/>
        <w:jc w:val="both"/>
      </w:pPr>
      <w:r>
        <w:rPr/>
        <w:t>联系电话：</w:t>
      </w:r>
      <w:r>
        <w:rPr/>
        <w:t>18965052557</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福建禾海天成项目管理有限公司</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892,340.00</w:t>
      </w:r>
    </w:p>
    <w:p>
      <w:pPr>
        <w:pStyle w:val="null3"/>
        <w:jc w:val="left"/>
      </w:pPr>
      <w:r>
        <w:rPr/>
        <w:t>采购包最高限价（元）: 892,340.00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2023年人工智能人脸识别防护系统建设</w:t>
            </w:r>
          </w:p>
        </w:tc>
        <w:tc>
          <w:tcPr>
            <w:tcW w:type="dxa" w:w="1187"/>
          </w:tcPr>
          <w:p>
            <w:pPr>
              <w:pStyle w:val="null3"/>
              <w:jc w:val="right"/>
            </w:pPr>
            <w:r>
              <w:rPr/>
              <w:t>1.00</w:t>
            </w:r>
          </w:p>
        </w:tc>
        <w:tc>
          <w:tcPr>
            <w:tcW w:type="dxa" w:w="1187"/>
          </w:tcPr>
          <w:p>
            <w:pPr>
              <w:pStyle w:val="null3"/>
              <w:jc w:val="right"/>
            </w:pPr>
            <w:r>
              <w:rPr/>
              <w:t>892,340.00</w:t>
            </w:r>
          </w:p>
        </w:tc>
        <w:tc>
          <w:tcPr>
            <w:tcW w:type="dxa" w:w="1187"/>
          </w:tcPr>
          <w:p>
            <w:pPr>
              <w:pStyle w:val="null3"/>
              <w:jc w:val="left"/>
            </w:pPr>
            <w:r>
              <w:rPr/>
              <w:t>批</w:t>
            </w:r>
          </w:p>
        </w:tc>
        <w:tc>
          <w:tcPr>
            <w:tcW w:type="dxa" w:w="1187"/>
          </w:tcPr>
          <w:p>
            <w:pPr>
              <w:pStyle w:val="null3"/>
              <w:jc w:val="left"/>
            </w:pPr>
            <w:r>
              <w:rPr/>
              <w:t>软件和信息技术服务业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1</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90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采购包1：3名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w:t>
            </w:r>
          </w:p>
          <w:p>
            <w:pPr>
              <w:pStyle w:val="null3"/>
              <w:jc w:val="both"/>
            </w:pPr>
            <w:r>
              <w:rPr>
                <w:b/>
              </w:rPr>
              <w:t>②若本款第①点规定方式为“无”，则按照下列方式确定：</w:t>
            </w:r>
          </w:p>
          <w:p>
            <w:pPr>
              <w:pStyle w:val="null3"/>
              <w:jc w:val="both"/>
            </w:pPr>
            <w:r>
              <w:rPr>
                <w:b/>
              </w:rPr>
              <w:t>/</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自中标通知书发出之日起30个日历日内。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福建禾海天成项目管理有限公司</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福州市财政局</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本项目收取代理服务费</w:t>
            </w:r>
          </w:p>
          <w:p>
            <w:pPr>
              <w:pStyle w:val="null3"/>
              <w:jc w:val="both"/>
            </w:pPr>
            <w:r>
              <w:rPr>
                <w:b/>
              </w:rPr>
              <w:t>代理服务费用收取对象：中标/成交供应商</w:t>
            </w:r>
          </w:p>
          <w:p>
            <w:pPr>
              <w:pStyle w:val="null3"/>
              <w:jc w:val="both"/>
            </w:pPr>
            <w:r>
              <w:rPr>
                <w:b/>
              </w:rPr>
              <w:t>代理服务费收费标准：招标服务费：①中标人应按差额定率累进法计算，向招标代理机构交纳招标代理服务费(中标服务费)。招标代理服务收费的标准：100(万元)以下收费费率标准: 1.5%；招标代理服务费的交纳方式：中标人应在领取中标通知书的同时按规定的标准一次性向招标代理机构缴清招标代理服务费。招标代理服务费以银行转账或现金等付款方式。  户名：福建禾海天成项目管理有限公司  开户行：中信银行股份有限公司福州分行  账号：8111 3010 12600 3582 87</w:t>
            </w:r>
          </w:p>
          <w:p>
            <w:pPr>
              <w:pStyle w:val="null3"/>
              <w:jc w:val="both"/>
            </w:pPr>
            <w:r>
              <w:rPr>
                <w:b/>
              </w:rPr>
              <w:t>(2)其他：</w:t>
            </w:r>
          </w:p>
          <w:p>
            <w:pPr>
              <w:pStyle w:val="null3"/>
              <w:jc w:val="both"/>
            </w:pPr>
            <w:r>
              <w:rPr>
                <w:b/>
              </w:rPr>
              <w:t>/</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w:t>
            </w:r>
            <w:r>
              <w:rPr>
                <w:b/>
              </w:rPr>
              <w:t>的内容修正为下列内容：</w:t>
            </w:r>
          </w:p>
          <w:p>
            <w:pPr>
              <w:pStyle w:val="null3"/>
              <w:jc w:val="both"/>
            </w:pPr>
            <w:r>
              <w:rPr>
                <w:b/>
              </w:rPr>
              <w:t>/</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福建禾海天成项目管理有限公司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福建禾海天成项目管理有限公司</w:t>
      </w:r>
      <w:r>
        <w:rPr>
          <w:b/>
        </w:rPr>
        <w:t>将在投标截止时间至少15个日历日前，在招标文件载明的指定媒体以更正公告的形式发布澄清或修改的内容。不足15个日历日的，</w:t>
      </w:r>
      <w:r>
        <w:rPr>
          <w:b/>
        </w:rPr>
        <w:t>福建禾海天成项目管理有限公司</w:t>
      </w:r>
      <w:r>
        <w:rPr>
          <w:b/>
        </w:rPr>
        <w:t>将顺延投标截止时间及开标时间，</w:t>
      </w:r>
      <w:r>
        <w:rPr>
          <w:b/>
        </w:rPr>
        <w:t>福建禾海天成项目管理有限公司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福建禾海天成项目管理有限公司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福建禾海天成项目管理有限公司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福建禾海天成项目管理有限公司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福建禾海天成项目管理有限公司</w:t>
      </w:r>
      <w:r>
        <w:rPr>
          <w:b/>
        </w:rPr>
        <w:t>可终止招标并发布终止公告。</w:t>
      </w:r>
    </w:p>
    <w:p>
      <w:pPr>
        <w:pStyle w:val="null3"/>
        <w:ind w:firstLine="480"/>
        <w:jc w:val="both"/>
      </w:pPr>
      <w:r>
        <w:rPr>
          <w:b/>
        </w:rPr>
        <w:t>8.2终止公告作为</w:t>
      </w:r>
      <w:r>
        <w:rPr>
          <w:b/>
        </w:rPr>
        <w:t>福建禾海天成项目管理有限公司</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福建禾海天成项目管理有限公司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福建禾海天成项目管理有限公司</w:t>
      </w:r>
      <w:r>
        <w:rPr>
          <w:b/>
        </w:rPr>
        <w:t>可于投标有效期届满之前书面要求投标人延长投标有效期，投标人应在</w:t>
      </w:r>
      <w:r>
        <w:rPr>
          <w:b/>
        </w:rPr>
        <w:t>福建禾海天成项目管理有限公司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福建禾海天成项目管理有限公司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福建禾海天成项目管理有限公司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福建禾海天成项目管理有限公司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福建禾海天成项目管理有限公司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福建禾海天成项目管理有限公司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福建禾海天成项目管理有限公司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福建禾海天成项目管理有限公司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福建禾海天成项目管理有限公司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福建禾海天成项目管理有限公司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福建禾海天成项目管理有限公司</w:t>
      </w:r>
      <w:r>
        <w:rPr>
          <w:b/>
        </w:rPr>
        <w:t>提出询问，</w:t>
      </w:r>
      <w:r>
        <w:rPr>
          <w:b/>
        </w:rPr>
        <w:t>福建禾海天成项目管理有限公司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福建禾海天成项目管理有限公司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17.4信用记录指由财政部确定的有关网站提供的相关主体信用信息。信用记录的查询及使用应符合财政部文件（财库[2016]125号）规定。</w:t>
      </w:r>
    </w:p>
    <w:p>
      <w:pPr>
        <w:pStyle w:val="null3"/>
        <w:ind w:firstLine="480"/>
        <w:jc w:val="both"/>
      </w:pPr>
      <w:r>
        <w:rPr>
          <w:b/>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福建禾海天成项目管理有限公司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由福建禾海天成项目管理有限公司派出的工作人员至少1人，</w:t>
      </w:r>
      <w:r>
        <w:rPr>
          <w:b/>
        </w:rPr>
        <w:t>其余1人可为采购人代表或福建禾海天成项目管理有限公司的工作人员。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一般资格证明文件：财务状况报告、依法缴纳税收和依法缴纳社会保障资金的相关材料要求</w:t>
            </w:r>
          </w:p>
        </w:tc>
        <w:tc>
          <w:tcPr>
            <w:tcW w:type="dxa" w:w="4614"/>
          </w:tcPr>
          <w:p>
            <w:pPr>
              <w:pStyle w:val="null3"/>
              <w:jc w:val="left"/>
            </w:pPr>
            <w:r>
              <w:rPr/>
              <w:t>供应商可按文件“①一般资格证明文件”要求提供相关证明材料或根据榕财采（2021）52号的要求提供资格承诺函 （承诺函格式详见招标内容及要求 四、其他事项 附件1）。 若提供资格承诺函，无需再提交财务状况、缴纳税收和社保资金缴纳等证明材料。采购人有权在签订合同前要求成交人提供相关证明材料以核实成交人承诺事项的真实性。投标人应当遵循诚实守信的原则，不得作出虚假承诺，承诺不实的，属于提供虚假材料谋取中标、成交，依法追究相关的法律责任。 ★文件中“①一般资格证明文件”要求与本条款要求不一致的，以本条款要求为准。</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福建禾海天成项目管理有限公司</w:t>
      </w:r>
      <w:r>
        <w:rPr>
          <w:b/>
        </w:rPr>
        <w:t>统一对外发布。</w:t>
      </w:r>
    </w:p>
    <w:p>
      <w:pPr>
        <w:pStyle w:val="null3"/>
        <w:ind w:firstLine="480"/>
        <w:jc w:val="both"/>
      </w:pPr>
      <w:r>
        <w:rPr>
          <w:b/>
        </w:rPr>
        <w:t>3、资格审查合格的投标人不足三家的，不进行评标。同时，本次采购活动结束，</w:t>
      </w:r>
      <w:r>
        <w:rPr>
          <w:b/>
        </w:rPr>
        <w:t>福建禾海天成项目管理有限公司</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福建禾海天成项目管理有限公司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福建禾海天成项目管理有限公司</w:t>
      </w:r>
      <w:r>
        <w:rPr>
          <w:b/>
        </w:rPr>
        <w:t>统一对外发布。</w:t>
      </w:r>
    </w:p>
    <w:p>
      <w:pPr>
        <w:pStyle w:val="null3"/>
        <w:ind w:firstLine="480"/>
        <w:jc w:val="both"/>
      </w:pPr>
      <w:r>
        <w:rPr>
          <w:b/>
        </w:rPr>
        <w:t>②对</w:t>
      </w:r>
      <w:r>
        <w:rPr>
          <w:b/>
        </w:rPr>
        <w:t>福建禾海天成项目管理有限公司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技术符合性：无</w:t>
      </w:r>
    </w:p>
    <w:p>
      <w:pPr>
        <w:pStyle w:val="null3"/>
        <w:jc w:val="left"/>
      </w:pPr>
      <w:r>
        <w:rPr/>
        <w:t>商务符合性：无</w:t>
      </w:r>
    </w:p>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福建禾海天成项目管理有限公司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价格项（F1×A1）满分为30.00分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技术参数</w:t>
            </w:r>
          </w:p>
        </w:tc>
        <w:tc>
          <w:tcPr>
            <w:tcW w:type="dxa" w:w="831"/>
          </w:tcPr>
          <w:p>
            <w:pPr>
              <w:pStyle w:val="null3"/>
              <w:jc w:val="right"/>
            </w:pPr>
            <w:r>
              <w:rPr>
                <w:b/>
              </w:rPr>
              <w:t>60.00</w:t>
            </w:r>
          </w:p>
        </w:tc>
        <w:tc>
          <w:tcPr>
            <w:tcW w:type="dxa" w:w="4153"/>
          </w:tcPr>
          <w:p>
            <w:pPr>
              <w:pStyle w:val="null3"/>
              <w:jc w:val="both"/>
            </w:pPr>
            <w:r>
              <w:rPr>
                <w:b/>
              </w:rPr>
              <w:t>根据各供应商对招标文件“第五章 招标内容及要求 二、技术和服务要求”中各项技术参数的逐项响应情况由评委进行评分。完全满足要求的得满分60分；其中带“▲”标识的技术参数共计10项，每负偏离一项扣3分，正偏离不加分，未带任何标识的技术参数共计（114）项，每负偏离一项扣0.53分，正偏离不加分。注：招标文件中技术参数若有要求供应商提供相应佐证材料的，若未提供或响应承诺与其佐证材料不一致的，评审小组将以不利于供应商的内容为准进行评审。</w:t>
            </w:r>
          </w:p>
        </w:tc>
      </w:tr>
    </w:tbl>
    <w:p>
      <w:pPr>
        <w:pStyle w:val="null3"/>
        <w:jc w:val="both"/>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安全及保密承诺</w:t>
            </w:r>
          </w:p>
        </w:tc>
        <w:tc>
          <w:tcPr>
            <w:tcW w:type="dxa" w:w="831"/>
          </w:tcPr>
          <w:p>
            <w:pPr>
              <w:pStyle w:val="null3"/>
              <w:jc w:val="right"/>
            </w:pPr>
            <w:r>
              <w:rPr>
                <w:b/>
              </w:rPr>
              <w:t>2.00</w:t>
            </w:r>
          </w:p>
        </w:tc>
        <w:tc>
          <w:tcPr>
            <w:tcW w:type="dxa" w:w="4153"/>
          </w:tcPr>
          <w:p>
            <w:pPr>
              <w:pStyle w:val="null3"/>
              <w:jc w:val="both"/>
            </w:pPr>
            <w:r>
              <w:rPr>
                <w:b/>
              </w:rPr>
              <w:t>投标人承诺中标后，在服务期内，对拟投入的所有人员的安全负全部责任，若发生安全事故，将承担全部责任的得1分，须提供承诺函，未提供的本项不得分；投标人承诺服务过程中造成学校物品丢失或重要敏感数据外流，将承担全部责任的得1分，须提供承诺函，未提供的本项不得分。</w:t>
            </w:r>
          </w:p>
        </w:tc>
      </w:tr>
      <w:tr>
        <w:tc>
          <w:tcPr>
            <w:tcW w:type="dxa" w:w="3322"/>
          </w:tcPr>
          <w:p>
            <w:pPr>
              <w:pStyle w:val="null3"/>
              <w:jc w:val="both"/>
            </w:pPr>
            <w:r>
              <w:rPr>
                <w:b/>
              </w:rPr>
              <w:t>员工的监控技术能力</w:t>
            </w:r>
          </w:p>
        </w:tc>
        <w:tc>
          <w:tcPr>
            <w:tcW w:type="dxa" w:w="831"/>
          </w:tcPr>
          <w:p>
            <w:pPr>
              <w:pStyle w:val="null3"/>
              <w:jc w:val="right"/>
            </w:pPr>
            <w:r>
              <w:rPr>
                <w:b/>
              </w:rPr>
              <w:t>1.00</w:t>
            </w:r>
          </w:p>
        </w:tc>
        <w:tc>
          <w:tcPr>
            <w:tcW w:type="dxa" w:w="4153"/>
          </w:tcPr>
          <w:p>
            <w:pPr>
              <w:pStyle w:val="null3"/>
              <w:jc w:val="both"/>
            </w:pPr>
            <w:r>
              <w:rPr>
                <w:b/>
              </w:rPr>
              <w:t>为保证服务质量及服务效率，投标人至少有1名员工持有技术服务工程师证书的得1分,未提供的本项不得分。须提供监控技术服务工程师证书复印件及投标截止时间前6个月（不含投标截止时间当月）中任意1个月投标人单位为其缴纳的社保证明材料复印件，并在签订合同时提供原件备查。</w:t>
            </w:r>
          </w:p>
        </w:tc>
      </w:tr>
      <w:tr>
        <w:tc>
          <w:tcPr>
            <w:tcW w:type="dxa" w:w="3322"/>
          </w:tcPr>
          <w:p>
            <w:pPr>
              <w:pStyle w:val="null3"/>
              <w:jc w:val="both"/>
            </w:pPr>
            <w:r>
              <w:rPr>
                <w:b/>
              </w:rPr>
              <w:t>员工的网络技术能力</w:t>
            </w:r>
          </w:p>
        </w:tc>
        <w:tc>
          <w:tcPr>
            <w:tcW w:type="dxa" w:w="831"/>
          </w:tcPr>
          <w:p>
            <w:pPr>
              <w:pStyle w:val="null3"/>
              <w:jc w:val="right"/>
            </w:pPr>
            <w:r>
              <w:rPr>
                <w:b/>
              </w:rPr>
              <w:t>1.00</w:t>
            </w:r>
          </w:p>
        </w:tc>
        <w:tc>
          <w:tcPr>
            <w:tcW w:type="dxa" w:w="4153"/>
          </w:tcPr>
          <w:p>
            <w:pPr>
              <w:pStyle w:val="null3"/>
              <w:jc w:val="both"/>
            </w:pPr>
            <w:r>
              <w:rPr>
                <w:b/>
              </w:rPr>
              <w:t>为保证服务质量及服务效率，投标人至少有1名员工持有网络工程师证书的得1分,未提供的本项不得分。须提供网络工程师证书复印件及投标截止时间前6个月（不含投标截止时间当月）中任意1个月投标人单位为其缴纳的社保证明材料复印件，并在签订合同时提供原件备查。</w:t>
            </w:r>
          </w:p>
        </w:tc>
      </w:tr>
      <w:tr>
        <w:tc>
          <w:tcPr>
            <w:tcW w:type="dxa" w:w="3322"/>
          </w:tcPr>
          <w:p>
            <w:pPr>
              <w:pStyle w:val="null3"/>
              <w:jc w:val="both"/>
            </w:pPr>
            <w:r>
              <w:rPr>
                <w:b/>
              </w:rPr>
              <w:t>售后服务承诺</w:t>
            </w:r>
          </w:p>
        </w:tc>
        <w:tc>
          <w:tcPr>
            <w:tcW w:type="dxa" w:w="831"/>
          </w:tcPr>
          <w:p>
            <w:pPr>
              <w:pStyle w:val="null3"/>
              <w:jc w:val="right"/>
            </w:pPr>
            <w:r>
              <w:rPr>
                <w:b/>
              </w:rPr>
              <w:t>3.00</w:t>
            </w:r>
          </w:p>
        </w:tc>
        <w:tc>
          <w:tcPr>
            <w:tcW w:type="dxa" w:w="4153"/>
          </w:tcPr>
          <w:p>
            <w:pPr>
              <w:pStyle w:val="null3"/>
              <w:jc w:val="both"/>
            </w:pPr>
            <w:r>
              <w:rPr>
                <w:b/>
              </w:rPr>
              <w:t>根据投标人的售后服务承诺、维护响应计划，包括具体的售后服务内容、故障响应时间、响应方式时间等方面，由评委进行评分：售后服务承诺、维护响应计划描述非常清晰合理完善的得3分；售后服务承诺、维护响应计划描述详实或部分内容可操作、具备一定实用性及技术性的得2分；售后服务承诺、维护响应计划描述简单的得1分；其余不得分。</w:t>
            </w:r>
          </w:p>
        </w:tc>
      </w:tr>
      <w:tr>
        <w:tc>
          <w:tcPr>
            <w:tcW w:type="dxa" w:w="3322"/>
          </w:tcPr>
          <w:p>
            <w:pPr>
              <w:pStyle w:val="null3"/>
              <w:jc w:val="both"/>
            </w:pPr>
            <w:r>
              <w:rPr>
                <w:b/>
              </w:rPr>
              <w:t>响应时间</w:t>
            </w:r>
          </w:p>
        </w:tc>
        <w:tc>
          <w:tcPr>
            <w:tcW w:type="dxa" w:w="831"/>
          </w:tcPr>
          <w:p>
            <w:pPr>
              <w:pStyle w:val="null3"/>
              <w:jc w:val="right"/>
            </w:pPr>
            <w:r>
              <w:rPr>
                <w:b/>
              </w:rPr>
              <w:t>3.00</w:t>
            </w:r>
          </w:p>
        </w:tc>
        <w:tc>
          <w:tcPr>
            <w:tcW w:type="dxa" w:w="4153"/>
          </w:tcPr>
          <w:p>
            <w:pPr>
              <w:pStyle w:val="null3"/>
              <w:jc w:val="both"/>
            </w:pPr>
            <w:r>
              <w:rPr>
                <w:b/>
              </w:rPr>
              <w:t>根据投标人针对突发事件的处理问题(到达项目所在地)响应时间进行评分：响应时间≤30分钟的得3分，1小时＜响应时间≤2小时的得1.5分，响应时间＞2小时的不得分。提供承诺函，未响应不得分。</w:t>
            </w:r>
          </w:p>
        </w:tc>
      </w:tr>
    </w:tbl>
    <w:p>
      <w:pPr>
        <w:pStyle w:val="null3"/>
        <w:jc w:val="both"/>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节能、环境标志产品</w:t>
            </w:r>
          </w:p>
        </w:tc>
        <w:tc>
          <w:tcPr>
            <w:tcW w:type="dxa" w:w="831"/>
          </w:tcPr>
          <w:p>
            <w:pPr>
              <w:pStyle w:val="null3"/>
              <w:jc w:val="right"/>
            </w:pPr>
            <w:r>
              <w:rPr>
                <w:b/>
              </w:rPr>
              <w:t>7.20</w:t>
            </w:r>
          </w:p>
        </w:tc>
        <w:tc>
          <w:tcPr>
            <w:tcW w:type="dxa" w:w="4153"/>
          </w:tcPr>
          <w:p>
            <w:pPr>
              <w:pStyle w:val="null3"/>
              <w:jc w:val="both"/>
            </w:pPr>
            <w:r>
              <w:rPr>
                <w:b/>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sz w:val="21"/>
        </w:rPr>
        <w:t>本项目为2023年人工智能人脸识别防护系统建设，投标人务必仔细阅读招标文件中所规定的，其中包括技术规格在内的所有细则。投标人应根据招标文件所提出的货物技术规格、数量和服务要求，选择具有最佳性能价格比的产品</w:t>
      </w:r>
      <w:r>
        <w:rPr>
          <w:rFonts w:ascii="宋体" w:hAnsi="宋体" w:cs="宋体" w:eastAsia="宋体"/>
          <w:b/>
          <w:sz w:val="21"/>
        </w:rPr>
        <w:t>或服务</w:t>
      </w:r>
      <w:r>
        <w:rPr>
          <w:rFonts w:ascii="宋体" w:hAnsi="宋体" w:cs="宋体" w:eastAsia="宋体"/>
          <w:b/>
          <w:sz w:val="21"/>
        </w:rPr>
        <w:t>前来投标，以充分显示贵公司的竞争实力。</w:t>
      </w:r>
    </w:p>
    <w:p>
      <w:pPr>
        <w:pStyle w:val="null3"/>
        <w:ind w:firstLine="480"/>
        <w:jc w:val="both"/>
        <w:outlineLvl w:val="2"/>
      </w:pPr>
      <w:r>
        <w:rPr>
          <w:b/>
          <w:sz w:val="28"/>
        </w:rPr>
        <w:t>二、技术和服务要求（以“★”标示的内容为不允许负偏离的实质性要求）</w:t>
      </w:r>
    </w:p>
    <w:p>
      <w:pPr>
        <w:pStyle w:val="null3"/>
        <w:ind w:firstLine="480"/>
        <w:jc w:val="both"/>
      </w:pPr>
    </w:p>
    <w:p>
      <w:pPr>
        <w:pStyle w:val="null3"/>
        <w:jc w:val="both"/>
      </w:pPr>
    </w:p>
    <w:tbl>
      <w:tblPr>
        <w:tblW w:w="0" w:type="auto"/>
        <w:tblBorders>
          <w:top w:val="none" w:color="000000" w:sz="4"/>
          <w:left w:val="none" w:color="000000" w:sz="4"/>
          <w:bottom w:val="none" w:color="000000" w:sz="4"/>
          <w:right w:val="none" w:color="000000" w:sz="4"/>
          <w:insideH w:val="none"/>
          <w:insideV w:val="none"/>
        </w:tblBorders>
      </w:tblPr>
      <w:tblGrid>
        <w:gridCol w:w="564"/>
        <w:gridCol w:w="1030"/>
        <w:gridCol w:w="5177"/>
        <w:gridCol w:w="822"/>
        <w:gridCol w:w="674"/>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序号</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产品名称</w:t>
            </w:r>
          </w:p>
        </w:tc>
        <w:tc>
          <w:tcPr>
            <w:tcW w:type="dxa" w:w="5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参数</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数量</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单位</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人脸识别测温一体机</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ind w:firstLine="380"/>
              <w:jc w:val="left"/>
            </w:pPr>
            <w:r>
              <w:rPr>
                <w:rFonts w:ascii="宋体" w:hAnsi="宋体" w:cs="宋体" w:eastAsia="宋体"/>
                <w:b/>
                <w:sz w:val="24"/>
              </w:rPr>
              <w:t>采用高性能嵌入式处理器，</w:t>
            </w:r>
            <w:r>
              <w:rPr>
                <w:rFonts w:ascii="宋体" w:hAnsi="宋体" w:cs="宋体" w:eastAsia="宋体"/>
                <w:b/>
                <w:sz w:val="24"/>
              </w:rPr>
              <w:t>≥8英寸液晶屏，屏幕显示分辨率≥1280×800；</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1项）</w:t>
            </w:r>
            <w:r>
              <w:br/>
            </w:r>
            <w:r>
              <w:rPr>
                <w:rFonts w:ascii="宋体" w:hAnsi="宋体" w:cs="宋体" w:eastAsia="宋体"/>
                <w:b/>
                <w:sz w:val="24"/>
              </w:rPr>
              <w:t>2、摄像头传感器≥1/2.7"，≥ 2MP CMOS 高清宽动态双摄像头；</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2项）</w:t>
            </w:r>
          </w:p>
          <w:p>
            <w:pPr>
              <w:pStyle w:val="null3"/>
              <w:numPr>
                <w:ilvl w:val="0"/>
                <w:numId w:val="1"/>
              </w:numPr>
              <w:ind w:firstLine="380"/>
              <w:jc w:val="left"/>
            </w:pPr>
            <w:r>
              <w:rPr>
                <w:rFonts w:ascii="宋体" w:hAnsi="宋体" w:cs="宋体" w:eastAsia="宋体"/>
                <w:b/>
                <w:sz w:val="24"/>
              </w:rPr>
              <w:t>支持用户容量</w:t>
            </w:r>
            <w:r>
              <w:rPr>
                <w:rFonts w:ascii="宋体" w:hAnsi="宋体" w:cs="宋体" w:eastAsia="宋体"/>
                <w:b/>
                <w:sz w:val="24"/>
              </w:rPr>
              <w:t>≥10万个（最大支持不超过50个管理员）、人脸容量≥10万张、卡片容量≥50万张卡、存储记录数量≥30万条记录；</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3项）</w:t>
            </w:r>
          </w:p>
          <w:p>
            <w:pPr>
              <w:pStyle w:val="null3"/>
              <w:ind w:firstLine="380"/>
              <w:jc w:val="left"/>
            </w:pPr>
            <w:r>
              <w:rPr>
                <w:rFonts w:ascii="宋体" w:hAnsi="宋体" w:cs="宋体" w:eastAsia="宋体"/>
                <w:b/>
                <w:sz w:val="24"/>
              </w:rPr>
              <w:t>4、支持人脸、IC卡、密码、二维码（支持2.2cm*2.2cm~5cm*5cm大小且内容小于128字节的二维码）等多种识别方式，并支持多种组合识别鉴权方式；</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4项）</w:t>
            </w:r>
            <w:r>
              <w:br/>
            </w:r>
            <w:r>
              <w:rPr>
                <w:rFonts w:ascii="宋体" w:hAnsi="宋体" w:cs="宋体" w:eastAsia="宋体"/>
                <w:b/>
                <w:sz w:val="24"/>
              </w:rPr>
              <w:t>5、人脸识别速度≤0.2秒；</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5项）</w:t>
            </w:r>
            <w:r>
              <w:br/>
            </w:r>
            <w:r>
              <w:rPr>
                <w:rFonts w:ascii="宋体" w:hAnsi="宋体" w:cs="宋体" w:eastAsia="宋体"/>
                <w:b/>
                <w:sz w:val="24"/>
              </w:rPr>
              <w:t>6、支持活体检测功能，支持手机照片、打印照片和视频防假；</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6项）</w:t>
            </w:r>
            <w:r>
              <w:br/>
            </w:r>
            <w:r>
              <w:rPr>
                <w:rFonts w:ascii="宋体" w:hAnsi="宋体" w:cs="宋体" w:eastAsia="宋体"/>
                <w:b/>
                <w:sz w:val="24"/>
              </w:rPr>
              <w:t>7、支持口罩检测、安全帽检测，支持带口罩人脸识别；</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7项）</w:t>
            </w:r>
            <w:r>
              <w:br/>
            </w:r>
            <w:r>
              <w:rPr>
                <w:rFonts w:ascii="宋体" w:hAnsi="宋体" w:cs="宋体" w:eastAsia="宋体"/>
                <w:b/>
                <w:sz w:val="24"/>
              </w:rPr>
              <w:t>8、支持多种比对结果呈现模式及多种语音提示信息，适应多种场景，保障用户隐私；</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8项）</w:t>
            </w:r>
            <w:r>
              <w:br/>
            </w:r>
            <w:r>
              <w:rPr>
                <w:rFonts w:ascii="宋体" w:hAnsi="宋体" w:cs="宋体" w:eastAsia="宋体"/>
                <w:b/>
                <w:sz w:val="24"/>
              </w:rPr>
              <w:t>9、支持门控安全模块扩展，防止暴力开门，提升通行安全；</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9项）</w:t>
            </w:r>
            <w:r>
              <w:br/>
            </w:r>
            <w:r>
              <w:rPr>
                <w:rFonts w:ascii="宋体" w:hAnsi="宋体" w:cs="宋体" w:eastAsia="宋体"/>
                <w:b/>
                <w:sz w:val="24"/>
              </w:rPr>
              <w:t>▲10、支持至少5段视频的播放，视频支持上分屏播放或下分屏播放可配置，视频格式支持MP4、AVI、DAV，视频支持配置开始播放时间及结束播放时间，视频支持原比例播放和全屏播放两种模式可配置，视频支持多段循环播放；（提供招标公告发布前生效的具有CMA、CNAS标识的有效检验报告复印件并加盖投标人公章做为依据，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1项）</w:t>
            </w:r>
            <w:r>
              <w:br/>
            </w:r>
            <w:r>
              <w:rPr>
                <w:rFonts w:ascii="宋体" w:hAnsi="宋体" w:cs="宋体" w:eastAsia="宋体"/>
                <w:b/>
                <w:sz w:val="24"/>
              </w:rPr>
              <w:t>11、自带测温模块，支持人脸测温功能；</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10项）</w:t>
            </w:r>
            <w:r>
              <w:br/>
            </w:r>
            <w:r>
              <w:rPr>
                <w:rFonts w:ascii="宋体" w:hAnsi="宋体" w:cs="宋体" w:eastAsia="宋体"/>
                <w:b/>
                <w:sz w:val="24"/>
              </w:rPr>
              <w:t>12、具有不少于1个RS-485接口、1个RS-232接口、1路输入/输出韦根接口、1个USB2.0接口、1个10Mbps/100Mbps以太网口、2路 (开关量）报警输入、2路 (继电器)报警输出；</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11项）</w:t>
            </w:r>
            <w:r>
              <w:br/>
            </w:r>
            <w:r>
              <w:rPr>
                <w:rFonts w:ascii="宋体" w:hAnsi="宋体" w:cs="宋体" w:eastAsia="宋体"/>
                <w:b/>
                <w:sz w:val="24"/>
              </w:rPr>
              <w:t>13、设备支持 12V电源输出功能，可以给读卡器、安全模块、锁具（不高于 12V/500mA） 等外设供电；（提供招标公告发布前生效的具有CMA、CNAS标识的有效检验报告复印件并加盖投标人公章做为依据，原件备查）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12项）</w:t>
            </w:r>
            <w:r>
              <w:br/>
            </w:r>
            <w:r>
              <w:rPr>
                <w:rFonts w:ascii="宋体" w:hAnsi="宋体" w:cs="宋体" w:eastAsia="宋体"/>
                <w:b/>
                <w:sz w:val="24"/>
              </w:rPr>
              <w:t>14、支持TCP/IP和WIFI接入网络；</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13项）</w:t>
            </w:r>
            <w:r>
              <w:br/>
            </w:r>
            <w:r>
              <w:rPr>
                <w:rFonts w:ascii="宋体" w:hAnsi="宋体" w:cs="宋体" w:eastAsia="宋体"/>
                <w:b/>
                <w:sz w:val="24"/>
              </w:rPr>
              <w:t>15、支持IP65防护等级。</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14项）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面板机支架</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面板支架，按校园实际情况配套。</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15项）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面板机安装施工</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施工费及辅材费用，破路修复、空开，插座、</w:t>
            </w:r>
            <w:r>
              <w:rPr>
                <w:rFonts w:ascii="宋体" w:hAnsi="宋体" w:cs="宋体" w:eastAsia="宋体"/>
                <w:b/>
                <w:sz w:val="24"/>
              </w:rPr>
              <w:t>PVC管、线槽、金属软管、射钉、扎带、电工胶布等。</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16项）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点位</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4</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智能人脸分析服务器</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1、操作系统：嵌入式Linux系统。网络接口：不少于4个千兆以太网口；视频接口不少于：2个VGA接口和3个HDMI接口；USB接口：不少于4个USB接口。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17项）</w:t>
            </w:r>
            <w:r>
              <w:br/>
            </w:r>
            <w:r>
              <w:rPr>
                <w:rFonts w:ascii="宋体" w:hAnsi="宋体" w:cs="宋体" w:eastAsia="宋体"/>
                <w:b/>
                <w:sz w:val="24"/>
              </w:rPr>
              <w:t xml:space="preserve">2、硬盘接口：不少于接入12块SATA3.0硬盘；支持接入容量≥16TB的硬盘，可通过eSATA接口接入外置硬盘，可内置以及外接SSD硬盘，支持14TB AI硬盘；支持最大挂载8个IPSAN网盘；可混合支持SATA硬盘及SSD硬盘。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18项）</w:t>
            </w:r>
            <w:r>
              <w:br/>
            </w:r>
            <w:r>
              <w:rPr>
                <w:rFonts w:ascii="宋体" w:hAnsi="宋体" w:cs="宋体" w:eastAsia="宋体"/>
                <w:b/>
                <w:sz w:val="24"/>
              </w:rPr>
              <w:t>3、视频接入：不小于128路网络视频接入，支持≥48路人脸识别（视频流）或≥160张/s人脸识别（图片流）比对报警，支持≥48路周界防范，≥48路视频结构化分析；最大接入码流≥680Mbps，最大存储码流≥680Mbps，最大转发码流≥680Mbps，最大回放码流为≥680Mbps。</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19项）</w:t>
            </w:r>
            <w:r>
              <w:br/>
            </w:r>
            <w:r>
              <w:rPr>
                <w:rFonts w:ascii="宋体" w:hAnsi="宋体" w:cs="宋体" w:eastAsia="宋体"/>
                <w:b/>
                <w:sz w:val="24"/>
              </w:rPr>
              <w:t xml:space="preserve">4、可通过业务平台给设备发送智能分析任务，设备可动态获取任务，并显示任务分析状态；可向业务平台上报抠图、全景图、属性、特征向量和特征向量版本；通过以图搜图方式搜索，并可在客户端软件上形成人员的运动轨迹。（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20项）</w:t>
            </w:r>
            <w:r>
              <w:br/>
            </w:r>
            <w:r>
              <w:rPr>
                <w:rFonts w:ascii="宋体" w:hAnsi="宋体" w:cs="宋体" w:eastAsia="宋体"/>
                <w:b/>
                <w:sz w:val="24"/>
              </w:rPr>
              <w:t xml:space="preserve">▲5、100万人脸库以脸搜脸检索响应速度不超过5秒，以脸搜脸首位命中率不低于95%，以脸搜脸前10位命中率不低于99%；左右侧脸，上下低头不超过45 度人脸检出率不低于95%，支持识别人脸是否戴眼镜，人脸戴眼镜检出率不低于99%，戴眼镜识别准确率不低于99%；可检出两眼瞳距大于9像素点的人脸图片。（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2项）</w:t>
            </w:r>
            <w:r>
              <w:br/>
            </w:r>
            <w:r>
              <w:rPr>
                <w:rFonts w:ascii="宋体" w:hAnsi="宋体" w:cs="宋体" w:eastAsia="宋体"/>
                <w:b/>
                <w:sz w:val="24"/>
              </w:rPr>
              <w:t xml:space="preserve">6、支持人员密度超限报警功能，支持16路人员密度统计超限报警，可设置检测区域、人员密度阈值，当视频画面中人数超过阈值时可触发报警联动，支持联动录像、抓图、蜂鸣报警、预置点、邮件、本地报警输出、IPC报警输出、门禁、音频以及日志记录，并支持通过客户端可接收报警消息、查看报警图片，并回放关联录像。（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21项）</w:t>
            </w:r>
            <w:r>
              <w:br/>
            </w:r>
            <w:r>
              <w:rPr>
                <w:rFonts w:ascii="宋体" w:hAnsi="宋体" w:cs="宋体" w:eastAsia="宋体"/>
                <w:b/>
                <w:sz w:val="24"/>
              </w:rPr>
              <w:t xml:space="preserve">7、可支持≥128路视频进行轮询智能分析。支持事件图片合成生成证据链进行存储，支持回放和导出事件合成图以及关联录像。（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22项）</w:t>
            </w:r>
            <w:r>
              <w:br/>
            </w:r>
            <w:r>
              <w:rPr>
                <w:rFonts w:ascii="宋体" w:hAnsi="宋体" w:cs="宋体" w:eastAsia="宋体"/>
                <w:b/>
                <w:sz w:val="24"/>
              </w:rPr>
              <w:t xml:space="preserve">8、支持根据通道、时间段进行人数统计结果对比。进行考勤签到业务功能:可进行考勤时间段：支持固定考勤、自由考勤类型指定工作时间、签入签出时间、迟到、早退、加班、旷工等设置；可对已添加考勤人员进行工作考勤设置及排班，形成考勤人员考勤列表；（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23项）</w:t>
            </w:r>
            <w:r>
              <w:br/>
            </w:r>
            <w:r>
              <w:rPr>
                <w:rFonts w:ascii="宋体" w:hAnsi="宋体" w:cs="宋体" w:eastAsia="宋体"/>
                <w:b/>
                <w:sz w:val="24"/>
              </w:rPr>
              <w:t xml:space="preserve">▲9、检测接入视频的异常项，异常项目包括：视频遮挡、场景变化、视频抖动、噪声检测、条纹干扰、视频丢失、画面冻结、高亮度检测、清晰度侦测、视频偏色、场景剧变、低对比度、雪花噪点；支持轮巡检测；可按通道、时间查询视频质量诊断报表，支持采用饼图和柱状图汇总时间段内视频数据信息，支持采用表格显示对应检测异常的明细。（提供封面具有CMA、CAL、CNAS、ilac-MRA标识的第三方检测机构出具的检验报告复印件为准，原件备查）  </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3项）</w:t>
            </w:r>
            <w:r>
              <w:br/>
            </w:r>
            <w:r>
              <w:rPr>
                <w:rFonts w:ascii="宋体" w:hAnsi="宋体" w:cs="宋体" w:eastAsia="宋体"/>
                <w:b/>
                <w:sz w:val="24"/>
              </w:rPr>
              <w:t>10、报警音频接口不少于：16个报警输入接口，8个报警输出接口，1个音频输入接口，2个音频输出接口。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24项）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人脸抓拍摄像机</w:t>
            </w:r>
            <w:r>
              <w:br/>
            </w:r>
            <w:r>
              <w:rPr>
                <w:rFonts w:ascii="宋体" w:hAnsi="宋体" w:cs="宋体" w:eastAsia="宋体"/>
                <w:b/>
                <w:sz w:val="24"/>
              </w:rPr>
              <w:t>（核心产品）</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1、传感器类型：≥1/1.8英寸CMOS；像素：≥400万；最大分辨率：≥2688 × 1520。</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25项）</w:t>
            </w:r>
            <w:r>
              <w:br/>
            </w:r>
            <w:r>
              <w:rPr>
                <w:rFonts w:ascii="宋体" w:hAnsi="宋体" w:cs="宋体" w:eastAsia="宋体"/>
                <w:b/>
                <w:sz w:val="24"/>
              </w:rPr>
              <w:t>2、最低照度：≤0.001Lux（彩色模式）；≤0.0001Lux（黑白模式）；≤0Lux（补光灯开启）。</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26项）</w:t>
            </w:r>
            <w:r>
              <w:br/>
            </w:r>
            <w:r>
              <w:rPr>
                <w:rFonts w:ascii="宋体" w:hAnsi="宋体" w:cs="宋体" w:eastAsia="宋体"/>
                <w:b/>
                <w:sz w:val="24"/>
              </w:rPr>
              <w:t>3、最大补光距离：≥120m（红外）。</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27项）</w:t>
            </w:r>
            <w:r>
              <w:br/>
            </w:r>
            <w:r>
              <w:rPr>
                <w:rFonts w:ascii="宋体" w:hAnsi="宋体" w:cs="宋体" w:eastAsia="宋体"/>
                <w:b/>
                <w:sz w:val="24"/>
              </w:rPr>
              <w:t>4、镜头焦距范围不少于：2.7-12mm。</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28项）</w:t>
            </w:r>
            <w:r>
              <w:br/>
            </w:r>
            <w:r>
              <w:rPr>
                <w:rFonts w:ascii="宋体" w:hAnsi="宋体" w:cs="宋体" w:eastAsia="宋体"/>
                <w:b/>
                <w:sz w:val="24"/>
              </w:rPr>
              <w:t>5、通用行为分析：物品遗留；物品搬移。</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29项）</w:t>
            </w:r>
            <w:r>
              <w:br/>
            </w:r>
            <w:r>
              <w:rPr>
                <w:rFonts w:ascii="宋体" w:hAnsi="宋体" w:cs="宋体" w:eastAsia="宋体"/>
                <w:b/>
                <w:sz w:val="24"/>
              </w:rPr>
              <w:t>6、周界防范：绊线入侵；区域入侵；快速移动（三项均支持人车分类及精准检测）；徘徊检测；人员聚集；停车检测。</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30项）</w:t>
            </w:r>
            <w:r>
              <w:br/>
            </w:r>
            <w:r>
              <w:rPr>
                <w:rFonts w:ascii="宋体" w:hAnsi="宋体" w:cs="宋体" w:eastAsia="宋体"/>
                <w:b/>
                <w:sz w:val="24"/>
              </w:rPr>
              <w:t>7、人脸检测：支持人脸检测；支持跟踪；支持优选；支持抓拍（抓图分辨率1080P）；支持上报最优的人脸抓图；支持人脸增强，支持人脸曝光；支持人脸属性提取，支持7种属性8种表情：性别，年龄，眼镜，表情（愤怒，悲伤，厌恶，害怕，惊讶，平静，高兴，困惑），口罩，胡子。</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31项）</w:t>
            </w:r>
            <w:r>
              <w:br/>
            </w:r>
            <w:r>
              <w:rPr>
                <w:rFonts w:ascii="宋体" w:hAnsi="宋体" w:cs="宋体" w:eastAsia="宋体"/>
                <w:b/>
                <w:sz w:val="24"/>
              </w:rPr>
              <w:t>8、人数统计：支持对进入、离开以及经过的人员进行数量统计，支持区域内人员进行数量统计，并可显示及输出日、月、年统计报表。</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32项）</w:t>
            </w:r>
            <w:r>
              <w:br/>
            </w:r>
            <w:r>
              <w:rPr>
                <w:rFonts w:ascii="宋体" w:hAnsi="宋体" w:cs="宋体" w:eastAsia="宋体"/>
                <w:b/>
                <w:sz w:val="24"/>
              </w:rPr>
              <w:t>9、支持宽动态；支持透雾功能；支持热度图。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33项）</w:t>
            </w:r>
            <w:r>
              <w:br/>
            </w:r>
            <w:r>
              <w:rPr>
                <w:rFonts w:ascii="宋体" w:hAnsi="宋体" w:cs="宋体" w:eastAsia="宋体"/>
                <w:b/>
                <w:sz w:val="24"/>
              </w:rPr>
              <w:t>10、支持最大Micro SD卡：≥256GB。</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34项）</w:t>
            </w:r>
            <w:r>
              <w:br/>
            </w:r>
            <w:r>
              <w:rPr>
                <w:rFonts w:ascii="宋体" w:hAnsi="宋体" w:cs="宋体" w:eastAsia="宋体"/>
                <w:b/>
                <w:sz w:val="24"/>
              </w:rPr>
              <w:t>11、支持接口不少于：1路音频输入，1路音频输出，3路报警输入，2路报警输出。</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35项）</w:t>
            </w:r>
            <w:r>
              <w:br/>
            </w:r>
            <w:r>
              <w:rPr>
                <w:rFonts w:ascii="宋体" w:hAnsi="宋体" w:cs="宋体" w:eastAsia="宋体"/>
                <w:b/>
                <w:sz w:val="24"/>
              </w:rPr>
              <w:t>12、供电方式：DC12V/POE；防护等级：IP67。</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36项）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6</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摄像机支架</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摄像机支架，按类型配套。</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37项）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个</w:t>
            </w:r>
          </w:p>
        </w:tc>
      </w:tr>
      <w:tr>
        <w:tc>
          <w:tcPr>
            <w:tcW w:type="dxa" w:w="56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视频数据管理平台</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支持视频监控、报警主机、人脸应用、门禁管理、可视对讲、停车管理、考勤管理、访客管理、动环管理、小区管理、业务数据网关、设备运维、报事报修、消费管理、梯控管理、客流管理、巡更管理、移动应用（APP&amp;小程序）功能等功能。</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38项）</w:t>
            </w:r>
            <w:r>
              <w:br/>
            </w:r>
            <w:r>
              <w:rPr>
                <w:rFonts w:ascii="宋体" w:hAnsi="宋体" w:cs="宋体" w:eastAsia="宋体"/>
                <w:b/>
                <w:sz w:val="24"/>
              </w:rPr>
              <w:t>2、人脸报警，支持查看陌生人报警信息，包括性别、年龄段、人脸特征，可根据报警时间、识别通道、性别、年龄、人脸特征进行查询，可查看抓拍图片。支持陌生人报警记录导出。</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39项）</w:t>
            </w:r>
            <w:r>
              <w:br/>
            </w:r>
            <w:r>
              <w:rPr>
                <w:rFonts w:ascii="宋体" w:hAnsi="宋体" w:cs="宋体" w:eastAsia="宋体"/>
                <w:b/>
                <w:sz w:val="24"/>
              </w:rPr>
              <w:t>3、支持人脸识别记录上报，支持图片及列表两种形式展示记录，支持导出记录。</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40项）</w:t>
            </w:r>
            <w:r>
              <w:br/>
            </w:r>
            <w:r>
              <w:rPr>
                <w:rFonts w:ascii="宋体" w:hAnsi="宋体" w:cs="宋体" w:eastAsia="宋体"/>
                <w:b/>
                <w:sz w:val="24"/>
              </w:rPr>
              <w:t>4、支持管理端配置客户端、管理端、移动端的自定义菜单应用布局，包括对菜单分组显示顺序、分组内菜单项展示顺序、分组间菜单移动的管理。（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41项）</w:t>
            </w:r>
            <w:r>
              <w:br/>
            </w:r>
            <w:r>
              <w:rPr>
                <w:rFonts w:ascii="宋体" w:hAnsi="宋体" w:cs="宋体" w:eastAsia="宋体"/>
                <w:b/>
                <w:sz w:val="24"/>
              </w:rPr>
              <w:t>5、人员管理，支持批量添加人员，可导入、导出人员的基本信息、生物特征（指纹、人脸）信息和人员头像图片；支持人员字段自定义配置。</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42项）</w:t>
            </w:r>
            <w:r>
              <w:br/>
            </w:r>
            <w:r>
              <w:rPr>
                <w:rFonts w:ascii="宋体" w:hAnsi="宋体" w:cs="宋体" w:eastAsia="宋体"/>
                <w:b/>
                <w:sz w:val="24"/>
              </w:rPr>
              <w:t>6、设备管理，支持设备管理，可按设备名称、通道进行模糊搜索；支持自定义修改设备通道类型、通道数量。</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43项）</w:t>
            </w:r>
            <w:r>
              <w:br/>
            </w:r>
            <w:r>
              <w:rPr>
                <w:rFonts w:ascii="宋体" w:hAnsi="宋体" w:cs="宋体" w:eastAsia="宋体"/>
                <w:b/>
                <w:sz w:val="24"/>
              </w:rPr>
              <w:t>7、支持自定义新增报警类型，包括报警类型名称、报警等级、报警归属设备、是否保存的信息配置；支持批量设置报警风暴间隔、报警等级、报警记录是否保存、报警类型是否启用。（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44项）</w:t>
            </w:r>
            <w:r>
              <w:br/>
            </w:r>
            <w:r>
              <w:rPr>
                <w:rFonts w:ascii="宋体" w:hAnsi="宋体" w:cs="宋体" w:eastAsia="宋体"/>
                <w:b/>
                <w:sz w:val="24"/>
              </w:rPr>
              <w:t>▲8、支持按楼舍、组织、归寝状态查询人员归寝情况：支持实时归寝数据导出；支持根据班级、教室、教师配置排课和查询课表。（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4项）</w:t>
            </w:r>
            <w:r>
              <w:br/>
            </w:r>
            <w:r>
              <w:rPr>
                <w:rFonts w:ascii="宋体" w:hAnsi="宋体" w:cs="宋体" w:eastAsia="宋体"/>
                <w:b/>
                <w:sz w:val="24"/>
              </w:rPr>
              <w:t>9、支持为指定的点位绑定视频、门禁、可视对讲、道闸、报警主机及新增业务组件的资源类型，绑定的资源类型包括设备、通道。（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45项）</w:t>
            </w:r>
            <w:r>
              <w:br/>
            </w:r>
            <w:r>
              <w:rPr>
                <w:rFonts w:ascii="宋体" w:hAnsi="宋体" w:cs="宋体" w:eastAsia="宋体"/>
                <w:b/>
                <w:sz w:val="24"/>
              </w:rPr>
              <w:t>10、视频插件，实时预览，支持视频实时预览，可在预览界面进行抓图、录像、开启对讲；录像回放，支持录像查询、录像回放，录像回放支持快放、慢放、单帧播放。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46项）</w:t>
            </w:r>
            <w:r>
              <w:br/>
            </w:r>
            <w:r>
              <w:rPr>
                <w:rFonts w:ascii="宋体" w:hAnsi="宋体" w:cs="宋体" w:eastAsia="宋体"/>
                <w:b/>
                <w:sz w:val="24"/>
              </w:rPr>
              <w:t>11、任务中心，支持按时间跨度进行筛选任务信息，支持按服务器名称和IP进行搜索任务信息，支持查看服务部署任务的详情，展示安装或卸载的系统日志；支持对任务进行开始、暂停、停止、删除操作，支持批量进行操作。</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47项）</w:t>
            </w:r>
            <w:r>
              <w:br/>
            </w:r>
            <w:r>
              <w:rPr>
                <w:rFonts w:ascii="宋体" w:hAnsi="宋体" w:cs="宋体" w:eastAsia="宋体"/>
                <w:b/>
                <w:sz w:val="24"/>
              </w:rPr>
              <w:t>12、支持查看平台运行数据，数据包括：人数统计、访客统计、人脸识别、考勤统计、设备报警、设备运维等信息。（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48项）</w:t>
            </w:r>
            <w:r>
              <w:br/>
            </w:r>
            <w:r>
              <w:rPr>
                <w:rFonts w:ascii="宋体" w:hAnsi="宋体" w:cs="宋体" w:eastAsia="宋体"/>
                <w:b/>
                <w:sz w:val="24"/>
              </w:rPr>
              <w:t>13、网络配置，支持对网卡的网络模式（多址、容错、高级绑定）、IP地址、子网掩码、网关、首选DNS、备选DNS，进行配置；支持配置映射地址或扩展地址，实现内外网配置；支持手动添加路由表，包含目的IP地址、子网掩码、默认网关，并支持验证有效性。</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49项）</w:t>
            </w:r>
            <w:r>
              <w:br/>
            </w:r>
            <w:r>
              <w:rPr>
                <w:rFonts w:ascii="宋体" w:hAnsi="宋体" w:cs="宋体" w:eastAsia="宋体"/>
                <w:b/>
                <w:sz w:val="24"/>
              </w:rPr>
              <w:t>14、安全配置，支持手动开启系统SSH访问，重启后自动关闭SSH访问；支持修改平台访问入口的端口。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50项）</w:t>
            </w:r>
            <w:r>
              <w:br/>
            </w:r>
            <w:r>
              <w:rPr>
                <w:rFonts w:ascii="宋体" w:hAnsi="宋体" w:cs="宋体" w:eastAsia="宋体"/>
                <w:b/>
                <w:sz w:val="24"/>
              </w:rPr>
              <w:t>15、实时预览，支持1/4/6/8/9/13/16/20/25/36/64多分屏画面展示，支持自定义分屏，支持屏显比例：满屏、原始比例，支持监视画面的亮度，对比度等参数调整；支持客户端抓图及连续抓图；支持客户端本地录像；支持保存当前实时预览为预案；支持手动切换主码流、辅码流、三码流，其中主码流、辅码流支持自动切换；支持手动/自动选择主辅码流类型，支持自定义收藏夹功能；支持即时回放；支持客户端断网自动重连功能。</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51项）</w:t>
            </w:r>
            <w:r>
              <w:br/>
            </w:r>
            <w:r>
              <w:rPr>
                <w:rFonts w:ascii="宋体" w:hAnsi="宋体" w:cs="宋体" w:eastAsia="宋体"/>
                <w:b/>
                <w:sz w:val="24"/>
              </w:rPr>
              <w:t>16、支持推送的数据包括采集系统数据、采集信息和动态业务数据，可分为类静态数据和动态数据两种类型，可按级联域配置建立连接进行数据级联汇聚入库存储或向上转发。</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52项）</w:t>
            </w:r>
            <w:r>
              <w:br/>
            </w:r>
            <w:r>
              <w:rPr>
                <w:rFonts w:ascii="宋体" w:hAnsi="宋体" w:cs="宋体" w:eastAsia="宋体"/>
                <w:b/>
                <w:sz w:val="24"/>
              </w:rPr>
              <w:t>17、支持对设备进行人脸复核，支持复核结果同步到设备。（提供封面具有CMA、CAL、CNAS、ilac-MRA标识的第三方检测机构出具的检验报告复印件为准，原件备查）。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53项）</w:t>
            </w:r>
            <w:r>
              <w:br/>
            </w:r>
            <w:r>
              <w:rPr>
                <w:rFonts w:ascii="宋体" w:hAnsi="宋体" w:cs="宋体" w:eastAsia="宋体"/>
                <w:b/>
                <w:sz w:val="24"/>
              </w:rPr>
              <w:t>18、支持对导入、导出平台Excel业务数据进行密码加密。（提供封面具有CMA、CAL、CNAS、ilac-MRA标识的第三方检测机构出具的检验报告复印件为准，原件备查）。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54项）</w:t>
            </w:r>
            <w:r>
              <w:br/>
            </w:r>
            <w:r>
              <w:rPr>
                <w:rFonts w:ascii="宋体" w:hAnsi="宋体" w:cs="宋体" w:eastAsia="宋体"/>
                <w:b/>
                <w:sz w:val="24"/>
              </w:rPr>
              <w:t>19、支持对业务集群进行编辑，可独立配置集群的数据库、消息中间件和数据中间件。（提供封面具有CMA、CAL、CNAS、ilac-MRA标识的第三方检测机构出具的检验报告复印件为准，原件备查）。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55项）</w:t>
            </w:r>
            <w:r>
              <w:br/>
            </w:r>
            <w:r>
              <w:rPr>
                <w:rFonts w:ascii="宋体" w:hAnsi="宋体" w:cs="宋体" w:eastAsia="宋体"/>
                <w:b/>
                <w:sz w:val="24"/>
              </w:rPr>
              <w:t>20、支持获取门禁设备能力集，包括人脸算法库和支持协议；能力集具有卡片鉴权、指纹鉴权、人脸鉴权、一人多卡、快速下发、快速核验、特征提取、一人多脸、人证补采、广告投放设置选项。（提供封面具有CMA、CAL、CNAS、ilac-MRA标识的第三方检测机构出具的检验报告复印件为准，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56项）</w:t>
            </w:r>
            <w:r>
              <w:br/>
            </w:r>
            <w:r>
              <w:rPr>
                <w:rFonts w:ascii="宋体" w:hAnsi="宋体" w:cs="宋体" w:eastAsia="宋体"/>
                <w:b/>
                <w:sz w:val="24"/>
              </w:rPr>
              <w:t>21、包含视频监控路数授权≥101点；具有访客管理系统授权。</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57项）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摄像机安装施工</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监控施工费及辅材费用，包含配线架、跳纤、尾纤、排插、熔芯、水晶头等。</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58项）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点位</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9</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24</w:t>
            </w:r>
            <w:r>
              <w:rPr>
                <w:rFonts w:ascii="宋体" w:hAnsi="宋体" w:cs="宋体" w:eastAsia="宋体"/>
                <w:b/>
                <w:sz w:val="24"/>
              </w:rPr>
              <w:t>口</w:t>
            </w:r>
            <w:r>
              <w:rPr>
                <w:rFonts w:ascii="宋体" w:hAnsi="宋体" w:cs="宋体" w:eastAsia="宋体"/>
                <w:b/>
                <w:sz w:val="24"/>
              </w:rPr>
              <w:t>POE交换机</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1、固化10/100/1000M以太网电口≥24，100/1000M SFP千兆光接口≥4个，10/100/1000M复用电口≥2个，交换容量≥3.36Tbps，包转发率≥126Mpps。至少支持POE和POE+远程供电，POE供电功率≥370W。</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59项）</w:t>
            </w:r>
            <w:r>
              <w:br/>
            </w:r>
            <w:r>
              <w:rPr>
                <w:rFonts w:ascii="宋体" w:hAnsi="宋体" w:cs="宋体" w:eastAsia="宋体"/>
                <w:b/>
                <w:sz w:val="24"/>
              </w:rPr>
              <w:t>▲2、为保证设备在受到外界机械碰撞时能够正常运行，要求所投交换机IK防护测试级别至少达到IK05，提供具有 CMA或CAL或 CNAS认证章的测试报告。</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5项）</w:t>
            </w:r>
            <w:r>
              <w:br/>
            </w:r>
            <w:r>
              <w:rPr>
                <w:rFonts w:ascii="宋体" w:hAnsi="宋体" w:cs="宋体" w:eastAsia="宋体"/>
                <w:b/>
                <w:sz w:val="24"/>
              </w:rPr>
              <w:t>3、产品面板自带一键查看PoE供电状态功能的PoE按钮，轻按即可查看设备当前的通信状态和供电状态。</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60项）</w:t>
            </w:r>
            <w:r>
              <w:br/>
            </w:r>
            <w:r>
              <w:rPr>
                <w:rFonts w:ascii="宋体" w:hAnsi="宋体" w:cs="宋体" w:eastAsia="宋体"/>
                <w:b/>
                <w:sz w:val="24"/>
              </w:rPr>
              <w:t>4、要求所投产品端口浪涌抗扰度≥8KV（即具备8KV的防雷能力）。</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61项）</w:t>
            </w:r>
            <w:r>
              <w:br/>
            </w:r>
            <w:r>
              <w:rPr>
                <w:rFonts w:ascii="宋体" w:hAnsi="宋体" w:cs="宋体" w:eastAsia="宋体"/>
                <w:b/>
                <w:sz w:val="24"/>
              </w:rPr>
              <w:t>5、支持专门针对CPU的保护机制，能够针对发往CPU处理的各种报文进行流区分和优先级队列分级处理，保护交换机在各种环境下稳定工作。</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62项）</w:t>
            </w:r>
            <w:r>
              <w:br/>
            </w:r>
            <w:r>
              <w:rPr>
                <w:rFonts w:ascii="宋体" w:hAnsi="宋体" w:cs="宋体" w:eastAsia="宋体"/>
                <w:b/>
                <w:sz w:val="24"/>
              </w:rPr>
              <w:t>6、符合国家低碳环保等政策要求，支持IEEE 802.3az标准的EEE节能技术。</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63项）</w:t>
            </w:r>
            <w:r>
              <w:br/>
            </w:r>
            <w:r>
              <w:rPr>
                <w:rFonts w:ascii="宋体" w:hAnsi="宋体" w:cs="宋体" w:eastAsia="宋体"/>
                <w:b/>
                <w:sz w:val="24"/>
              </w:rPr>
              <w:t>7、支持生成树协议STP(IEEE 802.1d)，RSTP(IEEE 802.1w)和MSTP(IEEE 802.1s)，完全保证快速收敛，提高容错能力，保证网络的稳定运行和链路的负载均衡，合理使用网络通道，提供冗余链路利用率。支持可快速检测链路的通断和光纤链路的单向性，并支持端口下的环路检测功能。</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64项）</w:t>
            </w:r>
            <w:r>
              <w:br/>
            </w:r>
            <w:r>
              <w:rPr>
                <w:rFonts w:ascii="宋体" w:hAnsi="宋体" w:cs="宋体" w:eastAsia="宋体"/>
                <w:b/>
                <w:sz w:val="24"/>
              </w:rPr>
              <w:t>8、支持SNMP、CLI(Telnet/Console)、Syslog、NTP、TFTP、Web。</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65项）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10</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w:t>
            </w:r>
            <w:r>
              <w:rPr>
                <w:rFonts w:ascii="宋体" w:hAnsi="宋体" w:cs="宋体" w:eastAsia="宋体"/>
                <w:b/>
                <w:sz w:val="24"/>
              </w:rPr>
              <w:t>口</w:t>
            </w:r>
            <w:r>
              <w:rPr>
                <w:rFonts w:ascii="宋体" w:hAnsi="宋体" w:cs="宋体" w:eastAsia="宋体"/>
                <w:b/>
                <w:sz w:val="24"/>
              </w:rPr>
              <w:t>POE交换机</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1、固化10/100/1000M以太网端口≥</w:t>
            </w:r>
            <w:r>
              <w:rPr>
                <w:rFonts w:ascii="宋体" w:hAnsi="宋体" w:cs="宋体" w:eastAsia="宋体"/>
                <w:b/>
                <w:sz w:val="24"/>
              </w:rPr>
              <w:t>8</w:t>
            </w:r>
            <w:r>
              <w:rPr>
                <w:rFonts w:ascii="宋体" w:hAnsi="宋体" w:cs="宋体" w:eastAsia="宋体"/>
                <w:b/>
                <w:sz w:val="24"/>
              </w:rPr>
              <w:t>个（支持</w:t>
            </w:r>
            <w:r>
              <w:rPr>
                <w:rFonts w:ascii="宋体" w:hAnsi="宋体" w:cs="宋体" w:eastAsia="宋体"/>
                <w:b/>
                <w:sz w:val="24"/>
              </w:rPr>
              <w:t>PoE及PoE+供电，PoE功率≥120W）；≥2个上联光口。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66项）</w:t>
            </w:r>
          </w:p>
          <w:p>
            <w:pPr>
              <w:pStyle w:val="null3"/>
              <w:jc w:val="left"/>
            </w:pPr>
            <w:r>
              <w:rPr>
                <w:rFonts w:ascii="宋体" w:hAnsi="宋体" w:cs="宋体" w:eastAsia="宋体"/>
                <w:b/>
                <w:sz w:val="24"/>
              </w:rPr>
              <w:t>2、交换机满足交换容量≥</w:t>
            </w:r>
            <w:r>
              <w:rPr>
                <w:rFonts w:ascii="宋体" w:hAnsi="宋体" w:cs="宋体" w:eastAsia="宋体"/>
                <w:b/>
                <w:sz w:val="24"/>
              </w:rPr>
              <w:t>20</w:t>
            </w:r>
            <w:r>
              <w:rPr>
                <w:rFonts w:ascii="宋体" w:hAnsi="宋体" w:cs="宋体" w:eastAsia="宋体"/>
                <w:b/>
                <w:sz w:val="24"/>
              </w:rPr>
              <w:t>Gbps，转发性能≥1</w:t>
            </w:r>
            <w:r>
              <w:rPr>
                <w:rFonts w:ascii="宋体" w:hAnsi="宋体" w:cs="宋体" w:eastAsia="宋体"/>
                <w:b/>
                <w:sz w:val="24"/>
              </w:rPr>
              <w:t>4</w:t>
            </w:r>
            <w:r>
              <w:rPr>
                <w:rFonts w:ascii="宋体" w:hAnsi="宋体" w:cs="宋体" w:eastAsia="宋体"/>
                <w:b/>
                <w:sz w:val="24"/>
              </w:rPr>
              <w:t>Mpps；</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67项）</w:t>
            </w:r>
          </w:p>
          <w:p>
            <w:pPr>
              <w:pStyle w:val="null3"/>
              <w:jc w:val="left"/>
            </w:pPr>
            <w:r>
              <w:rPr>
                <w:rFonts w:ascii="宋体" w:hAnsi="宋体" w:cs="宋体" w:eastAsia="宋体"/>
                <w:b/>
                <w:sz w:val="24"/>
              </w:rPr>
              <w:t>3、支持端口防雷≥</w:t>
            </w:r>
            <w:r>
              <w:rPr>
                <w:rFonts w:ascii="宋体" w:hAnsi="宋体" w:cs="宋体" w:eastAsia="宋体"/>
                <w:b/>
                <w:sz w:val="24"/>
              </w:rPr>
              <w:t>6</w:t>
            </w:r>
            <w:r>
              <w:rPr>
                <w:rFonts w:ascii="宋体" w:hAnsi="宋体" w:cs="宋体" w:eastAsia="宋体"/>
                <w:b/>
                <w:sz w:val="24"/>
              </w:rPr>
              <w:t>KV（非防静电）；</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68项）</w:t>
            </w:r>
          </w:p>
          <w:p>
            <w:pPr>
              <w:pStyle w:val="null3"/>
              <w:jc w:val="left"/>
            </w:pPr>
            <w:r>
              <w:rPr>
                <w:rFonts w:ascii="宋体" w:hAnsi="宋体" w:cs="宋体" w:eastAsia="宋体"/>
                <w:b/>
                <w:sz w:val="24"/>
              </w:rPr>
              <w:t>4、工作温度范围0-40°C；</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69项）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光模块</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千兆单模</w:t>
            </w:r>
            <w:r>
              <w:rPr>
                <w:rFonts w:ascii="宋体" w:hAnsi="宋体" w:cs="宋体" w:eastAsia="宋体"/>
                <w:b/>
                <w:sz w:val="24"/>
              </w:rPr>
              <w:t>LC接口光模块，≥1310nm，最大传输距离≥10km，适用于SFP接口。要求与交换机同品牌原厂原装。</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70项）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对</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网线</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1、应充分考虑数据传输需求，性能至少满足ISO/IEC11801、YD/T 1019和YD/T 926六类标准。</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71项）</w:t>
            </w:r>
            <w:r>
              <w:br/>
            </w:r>
            <w:r>
              <w:rPr>
                <w:rFonts w:ascii="宋体" w:hAnsi="宋体" w:cs="宋体" w:eastAsia="宋体"/>
                <w:b/>
                <w:sz w:val="24"/>
              </w:rPr>
              <w:t>▲2、单根导体直流电阻≤9.5Ω/100m，线对直流电阻不平衡≤4.0，线对对地电容不平衡≤160pF/100m。（提供招标公告发布前生效的具有CMA、CNAS标识的有效检验报告复印件并加盖投标人公章做为依据，原件备查）。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6项）</w:t>
            </w:r>
            <w:r>
              <w:br/>
            </w:r>
            <w:r>
              <w:rPr>
                <w:rFonts w:ascii="宋体" w:hAnsi="宋体" w:cs="宋体" w:eastAsia="宋体"/>
                <w:b/>
                <w:sz w:val="24"/>
              </w:rPr>
              <w:t>3、无氧铜足芯足米（不少于305米）。</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72项）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30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箱</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数据展示屏</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用于展示人脸识别考勤数据，</w:t>
            </w:r>
            <w:r>
              <w:rPr>
                <w:rFonts w:ascii="宋体" w:hAnsi="宋体" w:cs="宋体" w:eastAsia="宋体"/>
                <w:b/>
                <w:sz w:val="24"/>
              </w:rPr>
              <w:t>≥50英寸，至少配置2个HDMI接口，至少配置1个USB接口，分辨率≥3840*2160，支持连接外接音响，按照实际环境配置壁装支架。</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73项）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14</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数据处理终端</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用于访问后端平台，处理展示效果，要求国产化。</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74项）</w:t>
            </w:r>
            <w:r>
              <w:br/>
            </w:r>
            <w:r>
              <w:rPr>
                <w:rFonts w:ascii="宋体" w:hAnsi="宋体" w:cs="宋体" w:eastAsia="宋体"/>
                <w:b/>
                <w:sz w:val="24"/>
              </w:rPr>
              <w:t>1、CPU:</w:t>
            </w:r>
            <w:r>
              <w:rPr>
                <w:rFonts w:ascii="宋体" w:hAnsi="宋体" w:cs="宋体" w:eastAsia="宋体"/>
                <w:b/>
                <w:sz w:val="24"/>
              </w:rPr>
              <w:t>国产处理器，核心</w:t>
            </w:r>
            <w:r>
              <w:rPr>
                <w:rFonts w:ascii="宋体" w:hAnsi="宋体" w:cs="宋体" w:eastAsia="宋体"/>
                <w:b/>
                <w:sz w:val="24"/>
              </w:rPr>
              <w:t>≥8核，主频≥2.8GHZ。</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75项）</w:t>
            </w:r>
            <w:r>
              <w:br/>
            </w:r>
            <w:r>
              <w:rPr>
                <w:rFonts w:ascii="宋体" w:hAnsi="宋体" w:cs="宋体" w:eastAsia="宋体"/>
                <w:b/>
                <w:sz w:val="24"/>
              </w:rPr>
              <w:t>2、主板：</w:t>
            </w:r>
            <w:r>
              <w:rPr>
                <w:rFonts w:ascii="宋体" w:hAnsi="宋体" w:cs="宋体" w:eastAsia="宋体"/>
                <w:b/>
                <w:sz w:val="24"/>
              </w:rPr>
              <w:t>配套的</w:t>
            </w:r>
            <w:r>
              <w:rPr>
                <w:rFonts w:ascii="宋体" w:hAnsi="宋体" w:cs="宋体" w:eastAsia="宋体"/>
                <w:b/>
                <w:sz w:val="24"/>
              </w:rPr>
              <w:t>芯片组。</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76项）</w:t>
            </w:r>
            <w:r>
              <w:br/>
            </w:r>
            <w:r>
              <w:rPr>
                <w:rFonts w:ascii="宋体" w:hAnsi="宋体" w:cs="宋体" w:eastAsia="宋体"/>
                <w:b/>
                <w:sz w:val="24"/>
              </w:rPr>
              <w:t>3、内存:≥8GDDR42666MHz内存。</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77项）</w:t>
            </w:r>
            <w:r>
              <w:br/>
            </w:r>
            <w:r>
              <w:rPr>
                <w:rFonts w:ascii="宋体" w:hAnsi="宋体" w:cs="宋体" w:eastAsia="宋体"/>
                <w:b/>
                <w:sz w:val="24"/>
              </w:rPr>
              <w:t>4、显卡:</w:t>
            </w:r>
            <w:r>
              <w:rPr>
                <w:rFonts w:ascii="宋体" w:hAnsi="宋体" w:cs="宋体" w:eastAsia="宋体"/>
                <w:b/>
                <w:sz w:val="24"/>
              </w:rPr>
              <w:t>独立</w:t>
            </w:r>
            <w:r>
              <w:rPr>
                <w:rFonts w:ascii="宋体" w:hAnsi="宋体" w:cs="宋体" w:eastAsia="宋体"/>
                <w:b/>
                <w:sz w:val="24"/>
              </w:rPr>
              <w:t>显卡，声卡</w:t>
            </w:r>
            <w:r>
              <w:rPr>
                <w:rFonts w:ascii="宋体" w:hAnsi="宋体" w:cs="宋体" w:eastAsia="宋体"/>
                <w:b/>
                <w:sz w:val="24"/>
              </w:rPr>
              <w:t>:集成HDAudio，支持≥5.1声道（前面板≥2个、后面板≥3个音频接口）。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78项）</w:t>
            </w:r>
            <w:r>
              <w:br/>
            </w:r>
            <w:r>
              <w:rPr>
                <w:rFonts w:ascii="宋体" w:hAnsi="宋体" w:cs="宋体" w:eastAsia="宋体"/>
                <w:b/>
                <w:sz w:val="24"/>
              </w:rPr>
              <w:t>5、硬盘:≥256G固态硬盘，预装正版操作系统。</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79项）</w:t>
            </w:r>
            <w:r>
              <w:br/>
            </w:r>
            <w:r>
              <w:rPr>
                <w:rFonts w:ascii="宋体" w:hAnsi="宋体" w:cs="宋体" w:eastAsia="宋体"/>
                <w:b/>
                <w:sz w:val="24"/>
              </w:rPr>
              <w:t>6、网卡：集成10/100/1000M以太网卡；接口：≥9个USB接口（其中前置至少4个USB3.0），≥1个串口，≥2个视频接口（其中至少1个VGA接口）</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80项）</w:t>
            </w:r>
            <w:r>
              <w:br/>
            </w:r>
            <w:r>
              <w:rPr>
                <w:rFonts w:ascii="宋体" w:hAnsi="宋体" w:cs="宋体" w:eastAsia="宋体"/>
                <w:b/>
                <w:sz w:val="24"/>
              </w:rPr>
              <w:t>▲7、安全特性：机箱≥15L，顶置提手。USB支持BIOS下全部接口一键开关、全部接口一键只读、前后置USB口分组开关、前后置USB口分组只读、USB口逐个开关、USB口逐个只读（提供该功能截图）；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7项）</w:t>
            </w:r>
            <w:r>
              <w:br/>
            </w:r>
            <w:r>
              <w:rPr>
                <w:rFonts w:ascii="宋体" w:hAnsi="宋体" w:cs="宋体" w:eastAsia="宋体"/>
                <w:b/>
                <w:sz w:val="24"/>
              </w:rPr>
              <w:t>8、配置一套国密浏览器：</w:t>
            </w:r>
            <w:r>
              <w:br/>
            </w:r>
            <w:r>
              <w:rPr>
                <w:rFonts w:ascii="宋体" w:hAnsi="宋体" w:cs="宋体" w:eastAsia="宋体"/>
                <w:b/>
                <w:sz w:val="24"/>
              </w:rPr>
              <w:t>1)加密算法：支持SM2/SM3/SM4国密算法及国密SSL协议，无需安装其他插件以及程序，需提供功能截图。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81项）</w:t>
            </w:r>
            <w:r>
              <w:br/>
            </w:r>
            <w:r>
              <w:rPr>
                <w:rFonts w:ascii="宋体" w:hAnsi="宋体" w:cs="宋体" w:eastAsia="宋体"/>
                <w:b/>
                <w:sz w:val="24"/>
              </w:rPr>
              <w:t>2)国密证书信任管理：支持证书配置管理功能，用户通过配置界面将需要内置的国密证书导入到浏览器的信任列表中，便于访问国密加密站点，需提供功能截图。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82项）</w:t>
            </w:r>
            <w:r>
              <w:br/>
            </w:r>
            <w:r>
              <w:rPr>
                <w:rFonts w:ascii="宋体" w:hAnsi="宋体" w:cs="宋体" w:eastAsia="宋体"/>
                <w:b/>
                <w:sz w:val="24"/>
              </w:rPr>
              <w:t>▲3)国密SSLVPN网关支持：要求产品支持市面上主流国密SSLVPN网关产品，能提供5家与此类产品的兼容性互认证明证书，需提供电子扫描件。</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8项）</w:t>
            </w:r>
            <w:r>
              <w:br/>
            </w:r>
            <w:r>
              <w:rPr>
                <w:rFonts w:ascii="宋体" w:hAnsi="宋体" w:cs="宋体" w:eastAsia="宋体"/>
                <w:b/>
                <w:sz w:val="24"/>
              </w:rPr>
              <w:t>4)国密Ukey驱动管理：支持国密USBKey的驱动管理功能，在管理界面中进行USBKey的驱动文件的配置，便于浏览器启动后能够正常识别设备驱动，需提供功能截图。</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83项）</w:t>
            </w:r>
            <w:r>
              <w:br/>
            </w:r>
            <w:r>
              <w:rPr>
                <w:rFonts w:ascii="宋体" w:hAnsi="宋体" w:cs="宋体" w:eastAsia="宋体"/>
                <w:b/>
                <w:sz w:val="24"/>
              </w:rPr>
              <w:t>▲5)安全可靠度：要求产品具备国家认可资质的检验机构出具的产品测试报告，原件备查。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9项）</w:t>
            </w:r>
            <w:r>
              <w:br/>
            </w:r>
            <w:r>
              <w:rPr>
                <w:rFonts w:ascii="宋体" w:hAnsi="宋体" w:cs="宋体" w:eastAsia="宋体"/>
                <w:b/>
                <w:sz w:val="24"/>
              </w:rPr>
              <w:t>9、随机配置至少壹套≥4GB监控安全存储介质;</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84项）</w:t>
            </w:r>
            <w:r>
              <w:br/>
            </w:r>
            <w:r>
              <w:rPr>
                <w:rFonts w:ascii="宋体" w:hAnsi="宋体" w:cs="宋体" w:eastAsia="宋体"/>
                <w:b/>
                <w:sz w:val="24"/>
              </w:rPr>
              <w:t>▲1)符合信息安全访问控制产品检验规范MSTL_JGF_04-010（基本级)中的有关要求，需提供有资质的检测机构出具的检测报告佐证，原件备查。</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10项）</w:t>
            </w:r>
            <w:r>
              <w:br/>
            </w:r>
            <w:r>
              <w:rPr>
                <w:rFonts w:ascii="宋体" w:hAnsi="宋体" w:cs="宋体" w:eastAsia="宋体"/>
                <w:b/>
                <w:sz w:val="24"/>
              </w:rPr>
              <w:t>2）安全存储介质采用嵌入式硬件安全芯片与安全固件，采用国产加密算法加密资料。除软件共享区外的其他三个分区在刚插入主机时，处于锁定状态。在Windows、Linux等操作系统中均不可见，且无法操作。对其操作只能通过随盘软件进行，须提供安全存储介质接入终端界面截图予以证明。</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85项）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智慧校园宿舍管理系统</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1、支持楼舍入住人员的人脸下发状态查询，支持下发失败原因查看，支持手动下发操作；</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86项）</w:t>
            </w:r>
            <w:r>
              <w:br/>
            </w:r>
            <w:r>
              <w:rPr>
                <w:rFonts w:ascii="宋体" w:hAnsi="宋体" w:cs="宋体" w:eastAsia="宋体"/>
                <w:b/>
                <w:sz w:val="24"/>
              </w:rPr>
              <w:t>2、支持查看住宿记录，支持按操作类型，时间等条件进行查询；</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87项）</w:t>
            </w:r>
            <w:r>
              <w:br/>
            </w:r>
            <w:r>
              <w:rPr>
                <w:rFonts w:ascii="宋体" w:hAnsi="宋体" w:cs="宋体" w:eastAsia="宋体"/>
                <w:b/>
                <w:sz w:val="24"/>
              </w:rPr>
              <w:t>3、支持通行记录、异常通行统计的查询及导出；</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88项）</w:t>
            </w:r>
            <w:r>
              <w:br/>
            </w:r>
            <w:r>
              <w:rPr>
                <w:rFonts w:ascii="宋体" w:hAnsi="宋体" w:cs="宋体" w:eastAsia="宋体"/>
                <w:b/>
                <w:sz w:val="24"/>
              </w:rPr>
              <w:t>4、支持断线补传，考勤设备在上线后自动将断线时间段内的设备本地考勤数据上传给平台，平台进行相关人员的考勤状态更新；</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89项）</w:t>
            </w:r>
            <w:r>
              <w:br/>
            </w:r>
            <w:r>
              <w:rPr>
                <w:rFonts w:ascii="宋体" w:hAnsi="宋体" w:cs="宋体" w:eastAsia="宋体"/>
                <w:b/>
                <w:sz w:val="24"/>
              </w:rPr>
              <w:t>5、支持按楼舍、学院维度进行未归、晚归数据比较；</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90项）</w:t>
            </w:r>
            <w:r>
              <w:br/>
            </w:r>
            <w:r>
              <w:rPr>
                <w:rFonts w:ascii="宋体" w:hAnsi="宋体" w:cs="宋体" w:eastAsia="宋体"/>
                <w:b/>
                <w:sz w:val="24"/>
              </w:rPr>
              <w:t>6、支持教师登录查看其负责班级的考勤数据总览和班内学生考勤明细；</w:t>
            </w:r>
            <w:r>
              <w:br/>
            </w:r>
            <w:r>
              <w:rPr>
                <w:rFonts w:ascii="宋体" w:hAnsi="宋体" w:cs="宋体" w:eastAsia="宋体"/>
                <w:b/>
                <w:sz w:val="24"/>
              </w:rPr>
              <w:t>7、支持异常考勤状态的改签操作，支持改签操作的审核，及改签记录查询；</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91项）</w:t>
            </w:r>
            <w:r>
              <w:br/>
            </w:r>
            <w:r>
              <w:rPr>
                <w:rFonts w:ascii="宋体" w:hAnsi="宋体" w:cs="宋体" w:eastAsia="宋体"/>
                <w:b/>
                <w:sz w:val="24"/>
              </w:rPr>
              <w:t>8、支持按单日考勤、多日考勤、多次未归、多次未出、多次晚归查看考勤明细数据；支持考勤明细数据的批量导出；</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92项）</w:t>
            </w:r>
            <w:r>
              <w:br/>
            </w:r>
            <w:r>
              <w:rPr>
                <w:rFonts w:ascii="宋体" w:hAnsi="宋体" w:cs="宋体" w:eastAsia="宋体"/>
                <w:b/>
                <w:sz w:val="24"/>
              </w:rPr>
              <w:t>9、支持按天查看未归、晚归、请假人次；</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93项）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16</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人脸识别公共安全管理设备</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1、采用高性能嵌入式处理器，至少64位操作系统，内置≥120G固态硬盘。</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94项）</w:t>
            </w:r>
            <w:r>
              <w:br/>
            </w:r>
            <w:r>
              <w:rPr>
                <w:rFonts w:ascii="宋体" w:hAnsi="宋体" w:cs="宋体" w:eastAsia="宋体"/>
                <w:b/>
                <w:sz w:val="24"/>
              </w:rPr>
              <w:t>2、显示屏：前屏：≥15.6寸1920×1080触摸显示屏，后屏：≥11.6寸1366×768显示屏，配有≥2个USB2.0接口；存储记录数量：≥100000条。</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95项）</w:t>
            </w:r>
            <w:r>
              <w:br/>
            </w:r>
            <w:r>
              <w:rPr>
                <w:rFonts w:ascii="宋体" w:hAnsi="宋体" w:cs="宋体" w:eastAsia="宋体"/>
                <w:b/>
                <w:sz w:val="24"/>
              </w:rPr>
              <w:t>3、采用≥200万高清单目摄像头；摄像头角度可调，可适应不同身高访客登记。</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96项）</w:t>
            </w:r>
            <w:r>
              <w:br/>
            </w:r>
            <w:r>
              <w:rPr>
                <w:rFonts w:ascii="宋体" w:hAnsi="宋体" w:cs="宋体" w:eastAsia="宋体"/>
                <w:b/>
                <w:sz w:val="24"/>
              </w:rPr>
              <w:t>4、读卡距离：1cm～3cm，刷卡响应时间：≤1s。</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97项）</w:t>
            </w:r>
            <w:r>
              <w:br/>
            </w:r>
            <w:r>
              <w:rPr>
                <w:rFonts w:ascii="宋体" w:hAnsi="宋体" w:cs="宋体" w:eastAsia="宋体"/>
                <w:b/>
                <w:sz w:val="24"/>
              </w:rPr>
              <w:t>5、支持人证比对，读卡类型支持IC卡身份证。</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98项）</w:t>
            </w:r>
            <w:r>
              <w:br/>
            </w:r>
            <w:r>
              <w:rPr>
                <w:rFonts w:ascii="宋体" w:hAnsi="宋体" w:cs="宋体" w:eastAsia="宋体"/>
                <w:b/>
                <w:sz w:val="24"/>
              </w:rPr>
              <w:t>6、人脸识别距离：50cm～80cm；人脸识别速度：≤0.2s；人证比对时间：≤1.5s。</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99项）</w:t>
            </w:r>
            <w:r>
              <w:br/>
            </w:r>
            <w:r>
              <w:rPr>
                <w:rFonts w:ascii="宋体" w:hAnsi="宋体" w:cs="宋体" w:eastAsia="宋体"/>
                <w:b/>
                <w:sz w:val="24"/>
              </w:rPr>
              <w:t>7、支持图文、视频广告播放；支持抓拍功能。</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100项）</w:t>
            </w:r>
            <w:r>
              <w:br/>
            </w:r>
            <w:r>
              <w:rPr>
                <w:rFonts w:ascii="宋体" w:hAnsi="宋体" w:cs="宋体" w:eastAsia="宋体"/>
                <w:b/>
                <w:sz w:val="24"/>
              </w:rPr>
              <w:t>8、内嵌凭条打印机：热敏式点阵打印，打印速度≥80mm/s,纸宽≥58mm，纸卷直径≥50mm，手动进纸。</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101项）</w:t>
            </w:r>
          </w:p>
          <w:p>
            <w:pPr>
              <w:pStyle w:val="null3"/>
              <w:jc w:val="both"/>
            </w:pPr>
            <w:r>
              <w:rPr>
                <w:rFonts w:ascii="宋体" w:hAnsi="宋体" w:cs="宋体" w:eastAsia="宋体"/>
                <w:b/>
                <w:sz w:val="24"/>
              </w:rPr>
              <w:t>9.</w:t>
            </w:r>
            <w:r>
              <w:rPr>
                <w:rFonts w:ascii="calibri" w:hAnsi="calibri" w:cs="calibri" w:eastAsia="calibri"/>
                <w:b/>
                <w:sz w:val="21"/>
              </w:rPr>
              <w:t xml:space="preserve"> </w:t>
            </w:r>
            <w:r>
              <w:rPr>
                <w:rFonts w:ascii="宋体" w:hAnsi="宋体" w:cs="宋体" w:eastAsia="宋体"/>
                <w:b/>
                <w:sz w:val="24"/>
              </w:rPr>
              <w:t>访客预约，可用平台的</w:t>
            </w:r>
            <w:r>
              <w:rPr>
                <w:rFonts w:ascii="宋体" w:hAnsi="宋体" w:cs="宋体" w:eastAsia="宋体"/>
                <w:b/>
                <w:sz w:val="24"/>
              </w:rPr>
              <w:t>H5页面（学校公众号需对接页面）；访客预约登记，提前预约的访客，通过预约码或身份证获取预约信息自助登记后通行。访客可逐条填写同行人员信息，实现统一批次登记审批。</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102项）</w:t>
            </w:r>
            <w:r>
              <w:br/>
            </w:r>
            <w:r>
              <w:rPr>
                <w:rFonts w:ascii="宋体" w:hAnsi="宋体" w:cs="宋体" w:eastAsia="宋体"/>
                <w:b/>
                <w:sz w:val="24"/>
              </w:rPr>
              <w:t>10.现场登记：未预约的访客，现场自助登记的形式，自助登记时，通过手机号查询被访人填写访客信息，点击提交，打印访客单，包含条形码和二维码。此时二维码是不生效的状态。被访人通过手机H5页面登陆，审批预约信息，审批成功后，访客收到审批成功的短信，此时二维码和人脸才生效下发到门禁中，访客才可通行。</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103项）</w:t>
            </w:r>
            <w:r>
              <w:br/>
            </w:r>
            <w:r>
              <w:rPr>
                <w:rFonts w:ascii="宋体" w:hAnsi="宋体" w:cs="宋体" w:eastAsia="宋体"/>
                <w:b/>
                <w:sz w:val="24"/>
              </w:rPr>
              <w:t>11.访客签离，访客在访客机上刷身份证、条形码即可签离。也可通过出口门禁进行人脸/二维码抓拍签离。</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104项）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17</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视频管理平台服务器</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quot;times new roman&quot;" w:hAnsi="&quot;times new roman&quot;" w:cs="&quot;times new roman&quot;" w:eastAsia="&quot;times new roman&quot;"/>
                <w:b/>
                <w:sz w:val="19"/>
              </w:rPr>
              <w:t>1、</w:t>
            </w:r>
            <w:r>
              <w:rPr>
                <w:rFonts w:ascii="宋体" w:hAnsi="宋体" w:cs="宋体" w:eastAsia="宋体"/>
                <w:b/>
                <w:sz w:val="24"/>
              </w:rPr>
              <w:t>≤2U机架式服务器机箱，处理器：≥</w:t>
            </w:r>
            <w:r>
              <w:rPr>
                <w:rFonts w:ascii="宋体" w:hAnsi="宋体" w:cs="宋体" w:eastAsia="宋体"/>
                <w:b/>
                <w:sz w:val="24"/>
              </w:rPr>
              <w:t>1个，</w:t>
            </w:r>
            <w:r>
              <w:rPr>
                <w:rFonts w:ascii="宋体" w:hAnsi="宋体" w:cs="宋体" w:eastAsia="宋体"/>
                <w:b/>
                <w:sz w:val="24"/>
              </w:rPr>
              <w:t>性能</w:t>
            </w:r>
            <w:r>
              <w:rPr>
                <w:rFonts w:ascii="宋体" w:hAnsi="宋体" w:cs="宋体" w:eastAsia="宋体"/>
                <w:b/>
                <w:sz w:val="24"/>
              </w:rPr>
              <w:t>≥2.5G 16C 135W。</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105项）</w:t>
            </w:r>
          </w:p>
          <w:p>
            <w:pPr>
              <w:pStyle w:val="null3"/>
              <w:ind w:firstLine="380"/>
              <w:jc w:val="left"/>
            </w:pPr>
            <w:r>
              <w:rPr>
                <w:rFonts w:ascii="宋体" w:hAnsi="宋体" w:cs="宋体" w:eastAsia="宋体"/>
                <w:b/>
                <w:sz w:val="24"/>
              </w:rPr>
              <w:t>2、内存不少于：DDR4 3200 32G*2。</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106项）</w:t>
            </w:r>
            <w:r>
              <w:br/>
            </w:r>
            <w:r>
              <w:rPr>
                <w:rFonts w:ascii="宋体" w:hAnsi="宋体" w:cs="宋体" w:eastAsia="宋体"/>
                <w:b/>
                <w:sz w:val="24"/>
              </w:rPr>
              <w:t>3、硬盘：≥2块2TB 3.5吋7.2K 6Gb SATA硬盘，和≥1块4T企业级硬盘，至少可扩配2块2.5吋或3.5吋SAS/SATA或2.5吋NVMe；最大至少支持前置：12x2.5吋或12x3.5吋SAS/SATA或12x2.5吋NVMe，支持热插拔后置：2x2.5”SAS/SATA/NVMe；内置：支持1个板载 M.2 SSD。</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107项）</w:t>
            </w:r>
            <w:r>
              <w:br/>
            </w:r>
            <w:r>
              <w:rPr>
                <w:rFonts w:ascii="宋体" w:hAnsi="宋体" w:cs="宋体" w:eastAsia="宋体"/>
                <w:b/>
                <w:sz w:val="24"/>
              </w:rPr>
              <w:t>4、RAID控制器 LSI SAS3008 SAS卡/无缓存。</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108项）</w:t>
            </w:r>
            <w:r>
              <w:br/>
            </w:r>
            <w:r>
              <w:rPr>
                <w:rFonts w:ascii="宋体" w:hAnsi="宋体" w:cs="宋体" w:eastAsia="宋体"/>
                <w:b/>
                <w:sz w:val="24"/>
              </w:rPr>
              <w:t>5、配置至少双口千兆RJ45网卡+双口1G RJ45网卡*1+四口1G RJ45网卡，支持负载均衡等网络高级特性。</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109项）</w:t>
            </w:r>
            <w:r>
              <w:br/>
            </w:r>
            <w:r>
              <w:rPr>
                <w:rFonts w:ascii="宋体" w:hAnsi="宋体" w:cs="宋体" w:eastAsia="宋体"/>
                <w:b/>
                <w:sz w:val="24"/>
              </w:rPr>
              <w:t>6、接口配置≥2个VGA接口（1个位于机箱后部，1个位于机箱前部），≥4个USB接口（2个位于机箱后部、2个位于机箱前部），≥1个RJ-45管理接口（位于机箱后部），可选1个COM口位于机箱后部。</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110项）</w:t>
            </w:r>
            <w:r>
              <w:br/>
            </w:r>
            <w:r>
              <w:rPr>
                <w:rFonts w:ascii="宋体" w:hAnsi="宋体" w:cs="宋体" w:eastAsia="宋体"/>
                <w:b/>
                <w:sz w:val="24"/>
              </w:rPr>
              <w:t>7、风扇：≥4个热插拔N+1冗余风扇模组。</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111项）</w:t>
            </w:r>
            <w:r>
              <w:br/>
            </w:r>
            <w:r>
              <w:rPr>
                <w:rFonts w:ascii="宋体" w:hAnsi="宋体" w:cs="宋体" w:eastAsia="宋体"/>
                <w:b/>
                <w:sz w:val="24"/>
              </w:rPr>
              <w:t>8、电源不少于：550W电源模块*2。</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112项）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台</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企业级硬盘</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企业级硬盘，容量</w:t>
            </w:r>
            <w:r>
              <w:rPr>
                <w:rFonts w:ascii="宋体" w:hAnsi="宋体" w:cs="宋体" w:eastAsia="宋体"/>
                <w:b/>
                <w:sz w:val="24"/>
              </w:rPr>
              <w:t>≥8TB，转速≥7200RPM，缓存≥256MB，SATA 6Gb/s。</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113项）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块</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19</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电源线</w:t>
            </w:r>
          </w:p>
        </w:tc>
        <w:tc>
          <w:tcPr>
            <w:tcW w:type="dxa" w:w="5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b/>
                <w:sz w:val="24"/>
              </w:rPr>
              <w:t>RVV2*2.5电源线</w:t>
            </w:r>
            <w:r>
              <w:rPr>
                <w:rFonts w:ascii="宋体" w:hAnsi="宋体" w:cs="宋体" w:eastAsia="宋体"/>
                <w:b/>
                <w:sz w:val="24"/>
              </w:rPr>
              <w:t>（</w:t>
            </w:r>
            <w:r>
              <w:rPr>
                <w:rFonts w:ascii="宋体" w:hAnsi="宋体" w:cs="宋体" w:eastAsia="宋体"/>
                <w:b/>
                <w:sz w:val="24"/>
              </w:rPr>
              <w:t>第</w:t>
            </w:r>
            <w:r>
              <w:rPr>
                <w:rFonts w:ascii="宋体" w:hAnsi="宋体" w:cs="宋体" w:eastAsia="宋体"/>
                <w:b/>
                <w:sz w:val="24"/>
              </w:rPr>
              <w:t>114项）</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800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米</w:t>
            </w:r>
          </w:p>
        </w:tc>
      </w:tr>
    </w:tbl>
    <w:p>
      <w:pPr>
        <w:pStyle w:val="null3"/>
        <w:ind w:firstLine="480"/>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自合同签订之日起30日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福州市晋安区远洋路58-1</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验收合格后交付使用。</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1、期次1，说明：按招标文件、投标文件、合同要求进行验收</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1、验收合格后支付，达到付款条件起5日内，支付合同总金额的100.00%</w:t>
            </w:r>
          </w:p>
        </w:tc>
      </w:tr>
    </w:tbl>
    <w:p>
      <w:pPr>
        <w:pStyle w:val="null3"/>
        <w:ind w:firstLine="480"/>
        <w:jc w:val="left"/>
      </w:pPr>
      <w:r>
        <w:rPr>
          <w:b/>
        </w:rPr>
        <w:t>履约保证金</w:t>
      </w:r>
    </w:p>
    <w:p>
      <w:pPr>
        <w:pStyle w:val="null3"/>
        <w:ind w:firstLine="480"/>
        <w:jc w:val="left"/>
      </w:pPr>
    </w:p>
    <w:p>
      <w:pPr>
        <w:pStyle w:val="null3"/>
        <w:jc w:val="left"/>
      </w:pPr>
    </w:p>
    <w:p>
      <w:pPr>
        <w:pStyle w:val="null3"/>
        <w:jc w:val="left"/>
      </w:pPr>
    </w:p>
    <w:p>
      <w:pPr>
        <w:pStyle w:val="null3"/>
        <w:jc w:val="left"/>
      </w:pPr>
      <w:r>
        <w:rPr>
          <w:b/>
        </w:rPr>
        <w:t>采购包1：不缴纳</w:t>
      </w:r>
    </w:p>
    <w:p>
      <w:pPr>
        <w:pStyle w:val="null3"/>
        <w:ind w:firstLine="480"/>
        <w:jc w:val="left"/>
      </w:pPr>
      <w:r>
        <w:rPr>
          <w:b/>
        </w:rPr>
        <w:t>其他商务要求</w:t>
      </w:r>
    </w:p>
    <w:p>
      <w:pPr>
        <w:pStyle w:val="null3"/>
        <w:ind w:firstLine="480"/>
        <w:jc w:val="left"/>
      </w:pPr>
    </w:p>
    <w:p>
      <w:pPr>
        <w:pStyle w:val="null3"/>
        <w:jc w:val="left"/>
      </w:pPr>
    </w:p>
    <w:p>
      <w:pPr>
        <w:pStyle w:val="null3"/>
        <w:spacing w:after="150"/>
        <w:ind w:firstLine="480"/>
        <w:jc w:val="left"/>
      </w:pPr>
      <w:r>
        <w:rPr>
          <w:rFonts w:ascii="宋体" w:hAnsi="宋体" w:cs="宋体" w:eastAsia="宋体"/>
          <w:b/>
          <w:sz w:val="24"/>
        </w:rPr>
        <w:t>8、技术服务要求</w:t>
      </w:r>
    </w:p>
    <w:p>
      <w:pPr>
        <w:pStyle w:val="null3"/>
        <w:spacing w:after="150"/>
        <w:ind w:firstLine="480"/>
        <w:jc w:val="left"/>
      </w:pPr>
      <w:r>
        <w:rPr>
          <w:rFonts w:ascii="宋体" w:hAnsi="宋体" w:cs="宋体" w:eastAsia="宋体"/>
          <w:b/>
          <w:sz w:val="24"/>
        </w:rPr>
        <w:t>8.1、安装和调试：</w:t>
      </w:r>
    </w:p>
    <w:p>
      <w:pPr>
        <w:pStyle w:val="null3"/>
        <w:spacing w:after="150"/>
        <w:ind w:firstLine="480"/>
        <w:jc w:val="left"/>
      </w:pPr>
      <w:r>
        <w:rPr>
          <w:rFonts w:ascii="宋体" w:hAnsi="宋体" w:cs="宋体" w:eastAsia="宋体"/>
          <w:b/>
          <w:sz w:val="24"/>
        </w:rPr>
        <w:t>8.1.1、由卖方负责派技术人员到现场进行安装、调试至验收合格能够正常工作。</w:t>
      </w:r>
    </w:p>
    <w:p>
      <w:pPr>
        <w:pStyle w:val="null3"/>
        <w:spacing w:after="150"/>
        <w:ind w:firstLine="480"/>
        <w:jc w:val="left"/>
      </w:pPr>
      <w:r>
        <w:rPr>
          <w:rFonts w:ascii="宋体" w:hAnsi="宋体" w:cs="宋体" w:eastAsia="宋体"/>
          <w:b/>
          <w:sz w:val="24"/>
        </w:rPr>
        <w:t>8.1.2、卖方应在货物运抵现场一周前，向买方提供安装、调试及运行的进度计划表。</w:t>
      </w:r>
    </w:p>
    <w:p>
      <w:pPr>
        <w:pStyle w:val="null3"/>
        <w:spacing w:after="150"/>
        <w:ind w:firstLine="480"/>
        <w:jc w:val="left"/>
      </w:pPr>
      <w:r>
        <w:rPr>
          <w:rFonts w:ascii="宋体" w:hAnsi="宋体" w:cs="宋体" w:eastAsia="宋体"/>
          <w:b/>
          <w:sz w:val="24"/>
        </w:rPr>
        <w:t>8.1.3、卖方应在合同规定的安装调试期内完成该项工作。如因卖方责任而造成延期，所有因延期而产生的费用由卖方承担。</w:t>
      </w:r>
    </w:p>
    <w:p>
      <w:pPr>
        <w:pStyle w:val="null3"/>
        <w:spacing w:after="150"/>
        <w:ind w:firstLine="480"/>
        <w:jc w:val="left"/>
      </w:pPr>
      <w:r>
        <w:rPr>
          <w:rFonts w:ascii="宋体" w:hAnsi="宋体" w:cs="宋体" w:eastAsia="宋体"/>
          <w:b/>
          <w:sz w:val="24"/>
        </w:rPr>
        <w:t>8.2、技术培训</w:t>
      </w:r>
    </w:p>
    <w:p>
      <w:pPr>
        <w:pStyle w:val="null3"/>
        <w:spacing w:after="150"/>
        <w:ind w:firstLine="480"/>
        <w:jc w:val="left"/>
      </w:pPr>
      <w:r>
        <w:rPr>
          <w:rFonts w:ascii="宋体" w:hAnsi="宋体" w:cs="宋体" w:eastAsia="宋体"/>
          <w:b/>
          <w:sz w:val="24"/>
        </w:rPr>
        <w:t>结合安装调试，卖方专业技术人员应对买方的技术人员进行使用操作、设备维修、保养等技术的现场培训（现场安装培训），直至买方的技术人员能熟练独立工作。卖方委派的专业技术人员所需费用均由卖方承担。</w:t>
      </w:r>
    </w:p>
    <w:p>
      <w:pPr>
        <w:pStyle w:val="null3"/>
        <w:spacing w:after="150"/>
        <w:ind w:firstLine="480"/>
        <w:jc w:val="left"/>
      </w:pPr>
      <w:r>
        <w:rPr>
          <w:rFonts w:ascii="宋体" w:hAnsi="宋体" w:cs="宋体" w:eastAsia="宋体"/>
          <w:b/>
          <w:sz w:val="24"/>
        </w:rPr>
        <w:t>8.3、维保服务</w:t>
      </w:r>
    </w:p>
    <w:p>
      <w:pPr>
        <w:pStyle w:val="null3"/>
        <w:spacing w:after="150"/>
        <w:ind w:firstLine="480"/>
        <w:jc w:val="left"/>
      </w:pPr>
      <w:r>
        <w:rPr>
          <w:rFonts w:ascii="宋体" w:hAnsi="宋体" w:cs="宋体" w:eastAsia="宋体"/>
          <w:b/>
          <w:sz w:val="24"/>
        </w:rPr>
        <w:t xml:space="preserve">8.3.1、本次采购设备及辅材原厂保修3年，技术参数中有另行规定的从其规定。卖方在免费保修期间，提供上门安装调试、技术辅导等服务。保修期自验收合格签字之日起计算，在质保期内，非因操作不当造成要更换零配件及设备由卖方负责包修、包换。保修期内，软件系统、病毒库、特征库等免费升级。            </w:t>
      </w:r>
    </w:p>
    <w:p>
      <w:pPr>
        <w:pStyle w:val="null3"/>
        <w:spacing w:after="150"/>
        <w:ind w:firstLine="480"/>
        <w:jc w:val="left"/>
      </w:pPr>
      <w:r>
        <w:rPr>
          <w:rFonts w:ascii="宋体" w:hAnsi="宋体" w:cs="宋体" w:eastAsia="宋体"/>
          <w:b/>
          <w:sz w:val="24"/>
        </w:rPr>
        <w:t>8.3.2、对售 后服务响应时间的要求：在保修期内，设备若出现质量问题或故障，成交供应 商须保证在48小时内赶到现场排除设备故障。</w:t>
      </w:r>
    </w:p>
    <w:p>
      <w:pPr>
        <w:pStyle w:val="null3"/>
        <w:spacing w:after="150"/>
        <w:ind w:firstLine="480"/>
        <w:jc w:val="left"/>
      </w:pPr>
      <w:r>
        <w:rPr>
          <w:rFonts w:ascii="宋体" w:hAnsi="宋体" w:cs="宋体" w:eastAsia="宋体"/>
          <w:b/>
          <w:sz w:val="24"/>
        </w:rPr>
        <w:t>8.3.3、卖方须提供售 后服务承诺书及服务条款、维修中心的分布、联系人和联系电话以及资质证明，能长期提供良好的技术支持及零配件的优惠供应。</w:t>
      </w:r>
    </w:p>
    <w:p>
      <w:pPr>
        <w:pStyle w:val="null3"/>
        <w:spacing w:after="150"/>
        <w:ind w:firstLine="480"/>
        <w:jc w:val="left"/>
      </w:pPr>
      <w:r>
        <w:rPr>
          <w:rFonts w:ascii="宋体" w:hAnsi="宋体" w:cs="宋体" w:eastAsia="宋体"/>
          <w:b/>
          <w:sz w:val="24"/>
        </w:rPr>
        <w:t>8.3.4、卖方在质保期过后，仍应负责对货物提供维修服务，更换配件时只能收取配件的成本费；</w:t>
      </w:r>
    </w:p>
    <w:p>
      <w:pPr>
        <w:pStyle w:val="null3"/>
        <w:spacing w:after="150"/>
        <w:ind w:firstLine="480"/>
        <w:jc w:val="left"/>
      </w:pPr>
      <w:r>
        <w:rPr>
          <w:rFonts w:ascii="宋体" w:hAnsi="宋体" w:cs="宋体" w:eastAsia="宋体"/>
          <w:b/>
          <w:sz w:val="24"/>
        </w:rPr>
        <w:t>8.3.5、供 应商视自身能力在响应文件中提供更优、更合理的维修服务承诺。</w:t>
      </w:r>
    </w:p>
    <w:p>
      <w:pPr>
        <w:pStyle w:val="null3"/>
        <w:spacing w:after="150"/>
        <w:ind w:firstLine="480"/>
        <w:jc w:val="left"/>
      </w:pPr>
      <w:r>
        <w:rPr>
          <w:rFonts w:ascii="宋体" w:hAnsi="宋体" w:cs="宋体" w:eastAsia="宋体"/>
          <w:b/>
          <w:sz w:val="24"/>
        </w:rPr>
        <w:t>8.4、验收标准和验收方法</w:t>
      </w:r>
    </w:p>
    <w:p>
      <w:pPr>
        <w:pStyle w:val="null3"/>
        <w:spacing w:after="150"/>
        <w:ind w:firstLine="480"/>
        <w:jc w:val="left"/>
      </w:pPr>
      <w:r>
        <w:rPr>
          <w:rFonts w:ascii="宋体" w:hAnsi="宋体" w:cs="宋体" w:eastAsia="宋体"/>
          <w:b/>
          <w:sz w:val="24"/>
        </w:rPr>
        <w:t>8.4.1、 验收标准：设备按厂家产品验收标准及招标文件进行验收。产品质量达到设 计要求，安装调试各项指标符合验收标准要求。</w:t>
      </w:r>
    </w:p>
    <w:p>
      <w:pPr>
        <w:pStyle w:val="null3"/>
        <w:spacing w:after="150"/>
        <w:ind w:firstLine="480"/>
        <w:jc w:val="left"/>
      </w:pPr>
      <w:r>
        <w:rPr>
          <w:rFonts w:ascii="宋体" w:hAnsi="宋体" w:cs="宋体" w:eastAsia="宋体"/>
          <w:b/>
          <w:sz w:val="24"/>
        </w:rPr>
        <w:t>8.4.2、验收程序：货物验收分为卖方出厂检验、安装调试检验及最终验收三个阶段。</w:t>
      </w:r>
    </w:p>
    <w:p>
      <w:pPr>
        <w:pStyle w:val="null3"/>
        <w:spacing w:after="150"/>
        <w:ind w:firstLine="480"/>
        <w:jc w:val="left"/>
      </w:pPr>
      <w:r>
        <w:rPr>
          <w:rFonts w:ascii="宋体" w:hAnsi="宋体" w:cs="宋体" w:eastAsia="宋体"/>
          <w:b/>
          <w:sz w:val="24"/>
        </w:rPr>
        <w:t>a. 出厂检验</w:t>
      </w:r>
    </w:p>
    <w:p>
      <w:pPr>
        <w:pStyle w:val="null3"/>
        <w:spacing w:after="150"/>
        <w:ind w:firstLine="480"/>
        <w:jc w:val="left"/>
      </w:pPr>
      <w:r>
        <w:rPr>
          <w:rFonts w:ascii="宋体" w:hAnsi="宋体" w:cs="宋体" w:eastAsia="宋体"/>
          <w:b/>
          <w:sz w:val="24"/>
        </w:rPr>
        <w:t>卖方在货物出厂前，应按产品技术标准规定的检验项目和试验方法进行全面检验，卖方应随同货物提供出厂检验报告、产品质量合格证，结果必须符合</w:t>
      </w:r>
      <w:r>
        <w:rPr>
          <w:rFonts w:ascii="宋体" w:hAnsi="宋体" w:cs="宋体" w:eastAsia="宋体"/>
          <w:b/>
          <w:sz w:val="24"/>
        </w:rPr>
        <w:t>8.4.1验收标准的要求。</w:t>
      </w:r>
    </w:p>
    <w:p>
      <w:pPr>
        <w:pStyle w:val="null3"/>
        <w:spacing w:after="150"/>
        <w:ind w:firstLine="480"/>
        <w:jc w:val="left"/>
      </w:pPr>
      <w:r>
        <w:rPr>
          <w:rFonts w:ascii="宋体" w:hAnsi="宋体" w:cs="宋体" w:eastAsia="宋体"/>
          <w:b/>
          <w:sz w:val="24"/>
        </w:rPr>
        <w:t>b. 安装调试检验</w:t>
      </w:r>
    </w:p>
    <w:p>
      <w:pPr>
        <w:pStyle w:val="null3"/>
        <w:spacing w:after="150"/>
        <w:ind w:firstLine="480"/>
        <w:jc w:val="left"/>
      </w:pPr>
      <w:r>
        <w:rPr>
          <w:rFonts w:ascii="宋体" w:hAnsi="宋体" w:cs="宋体" w:eastAsia="宋体"/>
          <w:b/>
          <w:sz w:val="24"/>
        </w:rPr>
        <w:t>设备安装、调试过程，卖方应作详细检验记录。安装调试检验结果应符合制造厂产品标准和招标文件的规定。检验记录应真实并提供给买方。</w:t>
      </w:r>
    </w:p>
    <w:p>
      <w:pPr>
        <w:pStyle w:val="null3"/>
        <w:spacing w:after="150"/>
        <w:ind w:firstLine="480"/>
        <w:jc w:val="left"/>
      </w:pPr>
      <w:r>
        <w:rPr>
          <w:rFonts w:ascii="宋体" w:hAnsi="宋体" w:cs="宋体" w:eastAsia="宋体"/>
          <w:b/>
          <w:sz w:val="24"/>
        </w:rPr>
        <w:t>c. 最终验收</w:t>
      </w:r>
    </w:p>
    <w:p>
      <w:pPr>
        <w:pStyle w:val="null3"/>
        <w:spacing w:after="150"/>
        <w:ind w:firstLine="480"/>
        <w:jc w:val="left"/>
      </w:pPr>
      <w:r>
        <w:rPr>
          <w:rFonts w:ascii="宋体" w:hAnsi="宋体" w:cs="宋体" w:eastAsia="宋体"/>
          <w:b/>
          <w:sz w:val="24"/>
        </w:rPr>
        <w:t>⑴ 设备安装、调试结束后，由卖方负责并会同买方及有关专家按8.4.1条规定的标准要求进行联合验收。</w:t>
      </w:r>
    </w:p>
    <w:p>
      <w:pPr>
        <w:pStyle w:val="null3"/>
        <w:spacing w:after="150"/>
        <w:ind w:firstLine="480"/>
        <w:jc w:val="left"/>
      </w:pPr>
      <w:r>
        <w:rPr>
          <w:rFonts w:ascii="宋体" w:hAnsi="宋体" w:cs="宋体" w:eastAsia="宋体"/>
          <w:b/>
          <w:sz w:val="24"/>
        </w:rPr>
        <w:t>⑵ 最终验收所发生的一切费用由卖方承担。</w:t>
      </w:r>
    </w:p>
    <w:p>
      <w:pPr>
        <w:pStyle w:val="null3"/>
        <w:spacing w:after="150"/>
        <w:ind w:firstLine="480"/>
        <w:jc w:val="left"/>
      </w:pPr>
      <w:r>
        <w:rPr>
          <w:rFonts w:ascii="宋体" w:hAnsi="宋体" w:cs="宋体" w:eastAsia="宋体"/>
          <w:b/>
          <w:sz w:val="24"/>
        </w:rPr>
        <w:t>9、技术资料要求</w:t>
      </w:r>
    </w:p>
    <w:p>
      <w:pPr>
        <w:pStyle w:val="null3"/>
        <w:spacing w:after="150"/>
        <w:ind w:firstLine="480"/>
        <w:jc w:val="left"/>
      </w:pPr>
      <w:r>
        <w:rPr>
          <w:rFonts w:ascii="宋体" w:hAnsi="宋体" w:cs="宋体" w:eastAsia="宋体"/>
          <w:b/>
          <w:sz w:val="24"/>
        </w:rPr>
        <w:t xml:space="preserve"> 卖方应向买方提供以下目录的原厂商资料一套，进口 产品应配有中文资料一套，其费用包括在投标价格中：</w:t>
      </w:r>
    </w:p>
    <w:p>
      <w:pPr>
        <w:pStyle w:val="null3"/>
        <w:spacing w:after="150"/>
        <w:ind w:firstLine="480"/>
        <w:jc w:val="left"/>
      </w:pPr>
      <w:r>
        <w:rPr>
          <w:rFonts w:ascii="宋体" w:hAnsi="宋体" w:cs="宋体" w:eastAsia="宋体"/>
          <w:b/>
          <w:sz w:val="24"/>
        </w:rPr>
        <w:t>a、厂家产品验收标准</w:t>
      </w:r>
    </w:p>
    <w:p>
      <w:pPr>
        <w:pStyle w:val="null3"/>
        <w:spacing w:after="150"/>
        <w:ind w:firstLine="480"/>
        <w:jc w:val="left"/>
      </w:pPr>
      <w:r>
        <w:rPr>
          <w:rFonts w:ascii="宋体" w:hAnsi="宋体" w:cs="宋体" w:eastAsia="宋体"/>
          <w:b/>
          <w:sz w:val="24"/>
        </w:rPr>
        <w:t>b、中文使用说明书、技术说明书</w:t>
      </w:r>
    </w:p>
    <w:p>
      <w:pPr>
        <w:pStyle w:val="null3"/>
        <w:spacing w:after="150"/>
        <w:ind w:firstLine="480"/>
        <w:jc w:val="left"/>
      </w:pPr>
      <w:r>
        <w:rPr>
          <w:rFonts w:ascii="宋体" w:hAnsi="宋体" w:cs="宋体" w:eastAsia="宋体"/>
          <w:b/>
          <w:sz w:val="24"/>
        </w:rPr>
        <w:t>c、厂方标准配置目录</w:t>
      </w:r>
    </w:p>
    <w:p>
      <w:pPr>
        <w:pStyle w:val="null3"/>
        <w:spacing w:after="150"/>
        <w:ind w:firstLine="480"/>
        <w:jc w:val="left"/>
      </w:pPr>
      <w:r>
        <w:rPr>
          <w:rFonts w:ascii="宋体" w:hAnsi="宋体" w:cs="宋体" w:eastAsia="宋体"/>
          <w:b/>
          <w:sz w:val="24"/>
        </w:rPr>
        <w:t xml:space="preserve">d、装箱单  </w:t>
      </w:r>
    </w:p>
    <w:p>
      <w:pPr>
        <w:pStyle w:val="null3"/>
        <w:spacing w:after="150"/>
        <w:ind w:firstLine="480"/>
        <w:jc w:val="left"/>
      </w:pPr>
      <w:r>
        <w:rPr>
          <w:rFonts w:ascii="宋体" w:hAnsi="宋体" w:cs="宋体" w:eastAsia="宋体"/>
          <w:b/>
          <w:sz w:val="24"/>
        </w:rPr>
        <w:t>e、产品标准合格证</w:t>
      </w:r>
    </w:p>
    <w:p>
      <w:pPr>
        <w:pStyle w:val="null3"/>
        <w:spacing w:after="150"/>
        <w:ind w:firstLine="480"/>
        <w:jc w:val="left"/>
      </w:pPr>
      <w:r>
        <w:rPr>
          <w:rFonts w:ascii="宋体" w:hAnsi="宋体" w:cs="宋体" w:eastAsia="宋体"/>
          <w:b/>
          <w:sz w:val="24"/>
        </w:rPr>
        <w:t>f 、操作手册，安装维修手册及线路原理图</w:t>
      </w:r>
    </w:p>
    <w:p>
      <w:pPr>
        <w:pStyle w:val="null3"/>
        <w:spacing w:after="150"/>
        <w:ind w:firstLine="480"/>
        <w:jc w:val="left"/>
      </w:pPr>
      <w:r>
        <w:rPr>
          <w:rFonts w:ascii="宋体" w:hAnsi="宋体" w:cs="宋体" w:eastAsia="宋体"/>
          <w:b/>
          <w:sz w:val="24"/>
        </w:rPr>
        <w:t xml:space="preserve">g、备品备件、易损件清单及价格目录  </w:t>
      </w:r>
    </w:p>
    <w:p>
      <w:pPr>
        <w:pStyle w:val="null3"/>
        <w:spacing w:after="150"/>
        <w:ind w:firstLine="480"/>
        <w:jc w:val="left"/>
      </w:pPr>
      <w:r>
        <w:rPr>
          <w:rFonts w:ascii="宋体" w:hAnsi="宋体" w:cs="宋体" w:eastAsia="宋体"/>
          <w:b/>
          <w:sz w:val="24"/>
        </w:rPr>
        <w:t>h、零部件目录</w:t>
      </w:r>
    </w:p>
    <w:p>
      <w:pPr>
        <w:pStyle w:val="null3"/>
        <w:spacing w:after="150"/>
        <w:ind w:firstLine="480"/>
        <w:jc w:val="left"/>
      </w:pPr>
      <w:r>
        <w:rPr>
          <w:rFonts w:ascii="宋体" w:hAnsi="宋体" w:cs="宋体" w:eastAsia="宋体"/>
          <w:b/>
          <w:sz w:val="24"/>
        </w:rPr>
        <w:t xml:space="preserve">i、合同中要求的其他文件资料  </w:t>
      </w:r>
    </w:p>
    <w:p>
      <w:pPr>
        <w:pStyle w:val="null3"/>
        <w:spacing w:after="150"/>
        <w:ind w:firstLine="480"/>
        <w:jc w:val="left"/>
      </w:pPr>
      <w:r>
        <w:rPr>
          <w:rFonts w:ascii="宋体" w:hAnsi="宋体" w:cs="宋体" w:eastAsia="宋体"/>
          <w:b/>
          <w:sz w:val="24"/>
        </w:rPr>
        <w:t>10、专用工具</w:t>
      </w:r>
    </w:p>
    <w:p>
      <w:pPr>
        <w:pStyle w:val="null3"/>
        <w:spacing w:after="150"/>
        <w:ind w:firstLine="480"/>
        <w:jc w:val="left"/>
      </w:pPr>
      <w:r>
        <w:rPr>
          <w:rFonts w:ascii="宋体" w:hAnsi="宋体" w:cs="宋体" w:eastAsia="宋体"/>
          <w:b/>
          <w:sz w:val="24"/>
        </w:rPr>
        <w:t>卖方应提供一套维修所需的专用工具及其清单。</w:t>
      </w:r>
    </w:p>
    <w:p>
      <w:pPr>
        <w:pStyle w:val="null3"/>
        <w:spacing w:after="150"/>
        <w:ind w:firstLine="480"/>
        <w:jc w:val="left"/>
      </w:pPr>
      <w:r>
        <w:rPr>
          <w:rFonts w:ascii="宋体" w:hAnsi="宋体" w:cs="宋体" w:eastAsia="宋体"/>
          <w:b/>
          <w:sz w:val="24"/>
        </w:rPr>
        <w:t>11、备品备件</w:t>
      </w:r>
    </w:p>
    <w:p>
      <w:pPr>
        <w:pStyle w:val="null3"/>
        <w:spacing w:after="150"/>
        <w:ind w:firstLine="480"/>
        <w:jc w:val="left"/>
      </w:pPr>
      <w:r>
        <w:rPr>
          <w:rFonts w:ascii="宋体" w:hAnsi="宋体" w:cs="宋体" w:eastAsia="宋体"/>
          <w:b/>
          <w:sz w:val="24"/>
        </w:rPr>
        <w:t>卖方应提供设备在质量保证期过后一年内所需的备品备件及其清单（含价格清单）。</w:t>
      </w:r>
    </w:p>
    <w:p>
      <w:pPr>
        <w:pStyle w:val="null3"/>
        <w:spacing w:after="150"/>
        <w:ind w:firstLine="480"/>
        <w:jc w:val="left"/>
      </w:pPr>
      <w:r>
        <w:rPr>
          <w:rFonts w:ascii="宋体" w:hAnsi="宋体" w:cs="宋体" w:eastAsia="宋体"/>
          <w:b/>
          <w:sz w:val="24"/>
        </w:rPr>
        <w:t>12、专 利权</w:t>
      </w:r>
    </w:p>
    <w:p>
      <w:pPr>
        <w:pStyle w:val="null3"/>
        <w:spacing w:after="150"/>
        <w:ind w:firstLine="480"/>
        <w:jc w:val="left"/>
      </w:pPr>
      <w:r>
        <w:rPr>
          <w:rFonts w:ascii="宋体" w:hAnsi="宋体" w:cs="宋体" w:eastAsia="宋体"/>
          <w:b/>
          <w:sz w:val="24"/>
        </w:rPr>
        <w:t>卖方须保障买方在使用其货物或货物的任何一部分时，不受到第三方关于侵犯专</w:t>
      </w:r>
      <w:r>
        <w:rPr>
          <w:rFonts w:ascii="宋体" w:hAnsi="宋体" w:cs="宋体" w:eastAsia="宋体"/>
          <w:b/>
          <w:sz w:val="24"/>
        </w:rPr>
        <w:t xml:space="preserve"> 利权、商 标权或工业设 计权的指控。任何第三方如果提出侵权指控，卖方须与第三方交涉并承担由此而引起的一切法律责任和费用。 </w:t>
      </w:r>
    </w:p>
    <w:p>
      <w:pPr>
        <w:pStyle w:val="null3"/>
        <w:ind w:firstLine="480"/>
        <w:jc w:val="both"/>
      </w:pP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jc w:val="both"/>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jc w:val="both"/>
      </w:pPr>
      <w:r>
        <w:rPr/>
        <w:t xml:space="preserve"> </w:t>
      </w:r>
    </w:p>
    <w:p>
      <w:pPr>
        <w:pStyle w:val="null3"/>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both"/>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jc w:val="both"/>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jc w:val="both"/>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jc w:val="both"/>
      </w:pPr>
      <w:r>
        <w:rPr/>
        <w:t xml:space="preserve"> </w:t>
      </w:r>
    </w:p>
    <w:p>
      <w:pPr>
        <w:pStyle w:val="null3"/>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四-1-②优先类节能产品、环境标志产品证明材料（加分适用，若有）</w:t>
      </w:r>
    </w:p>
    <w:p>
      <w:pPr>
        <w:pStyle w:val="null3"/>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jc w:val="both"/>
      </w:pPr>
      <w:r>
        <w:rPr/>
        <w:t xml:space="preserve"> </w:t>
      </w:r>
    </w:p>
    <w:p>
      <w:pPr>
        <w:pStyle w:val="null3"/>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投标标的</w:t>
            </w:r>
          </w:p>
        </w:tc>
        <w:tc>
          <w:tcPr>
            <w:tcW w:type="dxa" w:w="1187"/>
          </w:tcPr>
          <w:p>
            <w:pPr>
              <w:pStyle w:val="null3"/>
              <w:jc w:val="both"/>
            </w:pPr>
            <w:r>
              <w:rPr/>
              <w:t>数量</w:t>
            </w:r>
          </w:p>
        </w:tc>
        <w:tc>
          <w:tcPr>
            <w:tcW w:type="dxa" w:w="1187"/>
          </w:tcPr>
          <w:p>
            <w:pPr>
              <w:pStyle w:val="null3"/>
              <w:jc w:val="both"/>
            </w:pPr>
            <w:r>
              <w:rPr/>
              <w:t>规格</w:t>
            </w:r>
          </w:p>
        </w:tc>
        <w:tc>
          <w:tcPr>
            <w:tcW w:type="dxa" w:w="1187"/>
          </w:tcPr>
          <w:p>
            <w:pPr>
              <w:pStyle w:val="null3"/>
              <w:jc w:val="both"/>
            </w:pPr>
            <w:r>
              <w:rPr/>
              <w:t>来源地</w:t>
            </w:r>
          </w:p>
        </w:tc>
        <w:tc>
          <w:tcPr>
            <w:tcW w:type="dxa" w:w="1187"/>
          </w:tcPr>
          <w:p>
            <w:pPr>
              <w:pStyle w:val="null3"/>
              <w:jc w:val="both"/>
            </w:pPr>
            <w:r>
              <w:rPr/>
              <w:t>备注</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vMerge/>
          </w:tcPr>
          <w:p/>
        </w:tc>
      </w:tr>
      <w:tr>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