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公开招标文件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440101-2023-19121</w:t>
      </w:r>
    </w:p>
    <w:p>
      <w:pPr>
        <w:jc w:val="center"/>
      </w:pPr>
      <w:r>
        <w:rPr>
          <w:b/>
          <w:sz w:val="24"/>
        </w:rPr>
        <w:t>采购项目编号：</w:t>
      </w:r>
      <w:r>
        <w:rPr>
          <w:b/>
          <w:sz w:val="24"/>
        </w:rPr>
        <w:t>CZ2023-0968</w:t>
      </w:r>
    </w:p>
    <w:p>
      <w:pPr>
        <w:jc w:val="center"/>
      </w:pPr>
      <w:r>
        <w:rPr>
          <w:b/>
          <w:sz w:val="24"/>
        </w:rPr>
        <w:t>项目名称：</w:t>
      </w:r>
      <w:r>
        <w:rPr>
          <w:b/>
          <w:sz w:val="24"/>
        </w:rPr>
        <w:t>人工智能训练师等级认定实训室项目</w:t>
      </w:r>
    </w:p>
    <w:p>
      <w:pPr>
        <w:jc w:val="center"/>
      </w:pPr>
      <w:r>
        <w:rPr>
          <w:b/>
          <w:sz w:val="24"/>
        </w:rPr>
        <w:t>采购人：</w:t>
      </w:r>
      <w:r>
        <w:rPr>
          <w:b/>
          <w:sz w:val="24"/>
        </w:rPr>
        <w:t>广州市公用事业技师学院</w:t>
      </w:r>
    </w:p>
    <w:p>
      <w:pPr>
        <w:jc w:val="center"/>
      </w:pPr>
      <w:r>
        <w:rPr>
          <w:b/>
          <w:sz w:val="24"/>
        </w:rPr>
        <w:t>采购代理机构：</w:t>
      </w:r>
      <w:r>
        <w:rPr>
          <w:b/>
          <w:sz w:val="24"/>
        </w:rPr>
        <w:t>广州市政府采购中心</w:t>
      </w:r>
    </w:p>
    <w:p>
      <w:pPr>
        <w:ind w:firstLine="480"/>
      </w:pPr>
    </w:p>
    <w:p>
      <w:r>
        <w:rPr/>
        <w:t xml:space="preserve"> </w:t>
      </w:r>
    </w:p>
    <w:p/>
    <w:p>
      <w:pPr>
        <w:jc w:val="center"/>
      </w:pPr>
      <w:r>
        <w:rPr>
          <w:b/>
          <w:sz w:val="36"/>
        </w:rPr>
        <w:t>第一章投标邀请</w:t>
      </w:r>
    </w:p>
    <w:p>
      <w:pPr>
        <w:ind w:firstLine="480"/>
      </w:pPr>
      <w:r>
        <w:rPr/>
        <w:t>广州市政府采购中心</w:t>
      </w:r>
      <w:r>
        <w:rPr/>
        <w:t>受</w:t>
      </w:r>
      <w:r>
        <w:rPr/>
        <w:t>广州市公用事业技师学院</w:t>
      </w:r>
      <w:r>
        <w:rPr/>
        <w:t>的委托，采用</w:t>
      </w:r>
      <w:r>
        <w:rPr/>
        <w:t>公开招标</w:t>
      </w:r>
      <w:r>
        <w:rPr/>
        <w:t>方式组织采购</w:t>
      </w:r>
      <w:r>
        <w:rPr/>
        <w:t>人工智能训练师等级认定实训室项目</w:t>
      </w:r>
      <w:r>
        <w:rPr/>
        <w:t>。欢迎符合资格条件的国内供应商参加投标。</w:t>
      </w:r>
    </w:p>
    <w:p>
      <w:r>
        <w:rPr>
          <w:b/>
          <w:sz w:val="28"/>
        </w:rPr>
        <w:t>一.项目概述</w:t>
      </w:r>
    </w:p>
    <w:p>
      <w:r>
        <w:rPr>
          <w:b/>
          <w:sz w:val="24"/>
        </w:rPr>
        <w:t>1.名称与编号</w:t>
      </w:r>
    </w:p>
    <w:p>
      <w:pPr>
        <w:ind w:firstLine="480"/>
      </w:pPr>
      <w:r>
        <w:rPr/>
        <w:t>项目名称：</w:t>
      </w:r>
      <w:r>
        <w:rPr/>
        <w:t>人工智能训练师等级认定实训室项目</w:t>
      </w:r>
    </w:p>
    <w:p>
      <w:pPr>
        <w:ind w:firstLine="480"/>
      </w:pPr>
      <w:r>
        <w:rPr/>
        <w:t>采购计划编号：</w:t>
      </w:r>
      <w:r>
        <w:rPr/>
        <w:t>440101-2023-19121</w:t>
      </w:r>
    </w:p>
    <w:p>
      <w:pPr>
        <w:ind w:firstLine="480"/>
      </w:pPr>
      <w:r>
        <w:rPr/>
        <w:t>采购项目编号：</w:t>
      </w:r>
      <w:r>
        <w:rPr/>
        <w:t>CZ2023-0968</w:t>
      </w:r>
    </w:p>
    <w:p>
      <w:pPr>
        <w:ind w:firstLine="480"/>
      </w:pPr>
      <w:r>
        <w:rPr/>
        <w:t>采购方式：</w:t>
      </w:r>
      <w:r>
        <w:rPr/>
        <w:t>公开招标</w:t>
      </w:r>
    </w:p>
    <w:p>
      <w:pPr>
        <w:ind w:firstLine="480"/>
      </w:pPr>
      <w:r>
        <w:rPr/>
        <w:t>预算金额：</w:t>
      </w:r>
      <w:r>
        <w:rPr/>
        <w:t>2,400,000.00</w:t>
      </w:r>
      <w:r>
        <w:rPr/>
        <w:t>元</w:t>
      </w:r>
    </w:p>
    <w:p>
      <w:r>
        <w:rPr>
          <w:b/>
          <w:sz w:val="24"/>
        </w:rPr>
        <w:t>2.项目内容及需求情况（采购项目技术规格、参数及要求）</w:t>
      </w:r>
    </w:p>
    <w:p>
      <w:pPr>
        <w:ind w:firstLine="480"/>
      </w:pPr>
    </w:p>
    <w:p/>
    <w:p>
      <w:r>
        <w:rPr/>
        <w:t>采购包1(人工智能训练师等级认定实训室项目):</w:t>
      </w:r>
    </w:p>
    <w:p>
      <w:r>
        <w:rPr/>
        <w:t>采购包预算金额：2,400,000.00元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r>
              <w:rPr/>
              <w:t>品目号</w:t>
            </w:r>
          </w:p>
        </w:tc>
        <w:tc>
          <w:tcPr>
            <w:tcW w:type="dxa" w:w="1424"/>
          </w:tcPr>
          <w:p>
            <w:r>
              <w:rPr/>
              <w:t>品目名称</w:t>
            </w:r>
          </w:p>
        </w:tc>
        <w:tc>
          <w:tcPr>
            <w:tcW w:type="dxa" w:w="2136"/>
          </w:tcPr>
          <w:p>
            <w:r>
              <w:rPr/>
              <w:t>采购标的</w:t>
            </w:r>
          </w:p>
        </w:tc>
        <w:tc>
          <w:tcPr>
            <w:tcW w:type="dxa" w:w="1187"/>
          </w:tcPr>
          <w:p>
            <w:r>
              <w:rPr/>
              <w:t>数量（单位）</w:t>
            </w:r>
          </w:p>
        </w:tc>
        <w:tc>
          <w:tcPr>
            <w:tcW w:type="dxa" w:w="1187"/>
          </w:tcPr>
          <w:p>
            <w:r>
              <w:rPr/>
              <w:t>技术规格、参数及要求</w:t>
            </w:r>
          </w:p>
        </w:tc>
        <w:tc>
          <w:tcPr>
            <w:tcW w:type="dxa" w:w="1187"/>
          </w:tcPr>
          <w:p>
            <w:r>
              <w:rPr/>
              <w:t>是否允许进口产品</w:t>
            </w:r>
          </w:p>
        </w:tc>
      </w:tr>
      <w:tr>
        <w:tc>
          <w:tcPr>
            <w:tcW w:type="dxa" w:w="1187"/>
          </w:tcPr>
          <w:p>
            <w:r>
              <w:rPr/>
              <w:t>1-1</w:t>
            </w:r>
          </w:p>
        </w:tc>
        <w:tc>
          <w:tcPr>
            <w:tcW w:type="dxa" w:w="1424"/>
          </w:tcPr>
          <w:p>
            <w:r>
              <w:rPr/>
              <w:t>其他电气机械设备</w:t>
            </w:r>
          </w:p>
        </w:tc>
        <w:tc>
          <w:tcPr>
            <w:tcW w:type="dxa" w:w="2136"/>
          </w:tcPr>
          <w:p>
            <w:r>
              <w:rPr/>
              <w:t>人工智能训练师实训平台</w:t>
            </w:r>
          </w:p>
        </w:tc>
        <w:tc>
          <w:tcPr>
            <w:tcW w:type="dxa" w:w="1187"/>
          </w:tcPr>
          <w:p>
            <w:r>
              <w:rPr/>
              <w:t>1(套)</w:t>
            </w:r>
          </w:p>
        </w:tc>
        <w:tc>
          <w:tcPr>
            <w:tcW w:type="dxa" w:w="1187"/>
          </w:tcPr>
          <w:p>
            <w:r>
              <w:rPr/>
              <w:t>详见第二章</w:t>
            </w:r>
          </w:p>
        </w:tc>
        <w:tc>
          <w:tcPr>
            <w:tcW w:type="dxa" w:w="1187"/>
          </w:tcPr>
          <w:p>
            <w:r>
              <w:rPr/>
              <w:t>否</w:t>
            </w:r>
          </w:p>
        </w:tc>
      </w:tr>
      <w:tr>
        <w:tc>
          <w:tcPr>
            <w:tcW w:type="dxa" w:w="1187"/>
          </w:tcPr>
          <w:p>
            <w:r>
              <w:rPr/>
              <w:t>1-2</w:t>
            </w:r>
          </w:p>
        </w:tc>
        <w:tc>
          <w:tcPr>
            <w:tcW w:type="dxa" w:w="1424"/>
          </w:tcPr>
          <w:p>
            <w:r>
              <w:rPr/>
              <w:t>其他电气机械设备</w:t>
            </w:r>
          </w:p>
        </w:tc>
        <w:tc>
          <w:tcPr>
            <w:tcW w:type="dxa" w:w="2136"/>
          </w:tcPr>
          <w:p>
            <w:r>
              <w:rPr/>
              <w:t>人工智能计算机视觉实验平台</w:t>
            </w:r>
          </w:p>
        </w:tc>
        <w:tc>
          <w:tcPr>
            <w:tcW w:type="dxa" w:w="1187"/>
          </w:tcPr>
          <w:p>
            <w:r>
              <w:rPr/>
              <w:t>30(套)</w:t>
            </w:r>
          </w:p>
        </w:tc>
        <w:tc>
          <w:tcPr>
            <w:tcW w:type="dxa" w:w="1187"/>
          </w:tcPr>
          <w:p>
            <w:r>
              <w:rPr/>
              <w:t>详见第二章</w:t>
            </w:r>
          </w:p>
        </w:tc>
        <w:tc>
          <w:tcPr>
            <w:tcW w:type="dxa" w:w="1187"/>
          </w:tcPr>
          <w:p>
            <w:r>
              <w:rPr/>
              <w:t>否</w:t>
            </w:r>
          </w:p>
        </w:tc>
      </w:tr>
      <w:tr>
        <w:tc>
          <w:tcPr>
            <w:tcW w:type="dxa" w:w="1187"/>
          </w:tcPr>
          <w:p>
            <w:r>
              <w:rPr/>
              <w:t>1-3</w:t>
            </w:r>
          </w:p>
        </w:tc>
        <w:tc>
          <w:tcPr>
            <w:tcW w:type="dxa" w:w="1424"/>
          </w:tcPr>
          <w:p>
            <w:r>
              <w:rPr/>
              <w:t>其他电气机械设备</w:t>
            </w:r>
          </w:p>
        </w:tc>
        <w:tc>
          <w:tcPr>
            <w:tcW w:type="dxa" w:w="2136"/>
          </w:tcPr>
          <w:p>
            <w:r>
              <w:rPr/>
              <w:t>移动机器人实训平台</w:t>
            </w:r>
          </w:p>
        </w:tc>
        <w:tc>
          <w:tcPr>
            <w:tcW w:type="dxa" w:w="1187"/>
          </w:tcPr>
          <w:p>
            <w:r>
              <w:rPr/>
              <w:t>2(套)</w:t>
            </w:r>
          </w:p>
        </w:tc>
        <w:tc>
          <w:tcPr>
            <w:tcW w:type="dxa" w:w="1187"/>
          </w:tcPr>
          <w:p>
            <w:r>
              <w:rPr/>
              <w:t>详见第二章</w:t>
            </w:r>
          </w:p>
        </w:tc>
        <w:tc>
          <w:tcPr>
            <w:tcW w:type="dxa" w:w="1187"/>
          </w:tcPr>
          <w:p>
            <w:r>
              <w:rPr/>
              <w:t>否</w:t>
            </w:r>
          </w:p>
        </w:tc>
      </w:tr>
      <w:tr>
        <w:tc>
          <w:tcPr>
            <w:tcW w:type="dxa" w:w="1187"/>
          </w:tcPr>
          <w:p>
            <w:r>
              <w:rPr/>
              <w:t>1-4</w:t>
            </w:r>
          </w:p>
        </w:tc>
        <w:tc>
          <w:tcPr>
            <w:tcW w:type="dxa" w:w="1424"/>
          </w:tcPr>
          <w:p>
            <w:r>
              <w:rPr/>
              <w:t>其他电气机械设备</w:t>
            </w:r>
          </w:p>
        </w:tc>
        <w:tc>
          <w:tcPr>
            <w:tcW w:type="dxa" w:w="2136"/>
          </w:tcPr>
          <w:p>
            <w:r>
              <w:rPr/>
              <w:t>集成管理平台</w:t>
            </w:r>
          </w:p>
        </w:tc>
        <w:tc>
          <w:tcPr>
            <w:tcW w:type="dxa" w:w="1187"/>
          </w:tcPr>
          <w:p>
            <w:r>
              <w:rPr/>
              <w:t>1(套)</w:t>
            </w:r>
          </w:p>
        </w:tc>
        <w:tc>
          <w:tcPr>
            <w:tcW w:type="dxa" w:w="1187"/>
          </w:tcPr>
          <w:p>
            <w:r>
              <w:rPr/>
              <w:t>详见第二章</w:t>
            </w:r>
          </w:p>
        </w:tc>
        <w:tc>
          <w:tcPr>
            <w:tcW w:type="dxa" w:w="1187"/>
          </w:tcPr>
          <w:p>
            <w:r>
              <w:rPr/>
              <w:t>否</w:t>
            </w:r>
          </w:p>
        </w:tc>
      </w:tr>
    </w:tbl>
    <w:p/>
    <w:p>
      <w:r>
        <w:rPr/>
        <w:t>本采购包不接受联合体投标</w:t>
      </w:r>
    </w:p>
    <w:p/>
    <w:p>
      <w:r>
        <w:rPr/>
        <w:t>合同履行期限：合同签订后60个自然日内（完成供货、安装、调试和验收工作）。</w:t>
      </w:r>
    </w:p>
    <w:p/>
    <w:p>
      <w:r>
        <w:rPr>
          <w:b/>
          <w:sz w:val="28"/>
        </w:rPr>
        <w:t>二.投标人的资格要求</w:t>
      </w:r>
    </w:p>
    <w:p>
      <w:r>
        <w:rPr>
          <w:b/>
          <w:sz w:val="24"/>
        </w:rPr>
        <w:t>1.投标人应具备《中华人民共和国政府采购法》第二十二条规定的条件，提供下列材料：</w:t>
      </w:r>
    </w:p>
    <w:p>
      <w:pPr>
        <w:ind w:firstLine="480"/>
      </w:pPr>
    </w:p>
    <w:p/>
    <w:p>
      <w:r>
        <w:rPr/>
        <w:t>1）具有独立承担民事责任的能力：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p/>
    <w:p>
      <w:r>
        <w:rPr/>
        <w:t>2）有依法缴纳税收和社会保障资金的良好记录：依据《投标函》。</w:t>
      </w:r>
    </w:p>
    <w:p/>
    <w:p>
      <w:r>
        <w:rPr/>
        <w:t>3）具有良好的商业信誉和健全的财务会计制度：依据《投标函》。</w:t>
      </w:r>
    </w:p>
    <w:p/>
    <w:p>
      <w:r>
        <w:rPr/>
        <w:t>4）履行合同所必需的设备和专业技术能力：依据《投标函》。</w:t>
      </w:r>
    </w:p>
    <w:p/>
    <w:p>
      <w:r>
        <w:rPr/>
        <w:t>5）参加采购活动前3年内，在经营活动中没有重大违法记录：依据《投标函》。</w:t>
      </w:r>
    </w:p>
    <w:p/>
    <w:p>
      <w:r>
        <w:rPr>
          <w:b/>
          <w:sz w:val="24"/>
        </w:rPr>
        <w:t>2.落实政府采购政策需满足的资格要求：</w:t>
      </w:r>
    </w:p>
    <w:p>
      <w:pPr>
        <w:ind w:firstLine="480"/>
      </w:pPr>
    </w:p>
    <w:p>
      <w:pPr>
        <w:jc w:val="left"/>
      </w:pPr>
    </w:p>
    <w:p>
      <w:r>
        <w:rPr/>
        <w:t>采购包1（人工智能训练师等级认定实训室项目）：</w:t>
      </w:r>
      <w:r>
        <w:rPr/>
        <w:t>本项目属于专门面向中小微企业采购的项目，全部货物的制造商应为中小微企业、监狱企业或残疾人福利性单位【依据《中小企业声明函》或由省级以上监狱管理局、戒毒管理局(含新疆生产建设兵团)出具的制造商属于监狱企业的证明文件或制造商的《残疾人福利性单位声明函》】。</w:t>
      </w:r>
    </w:p>
    <w:p/>
    <w:p>
      <w:r>
        <w:rPr>
          <w:b/>
          <w:sz w:val="24"/>
        </w:rPr>
        <w:t>3.本项目特定的资格要求：</w:t>
      </w:r>
    </w:p>
    <w:p>
      <w:pPr>
        <w:ind w:firstLine="480"/>
      </w:pPr>
    </w:p>
    <w:p/>
    <w:p>
      <w:r>
        <w:rPr/>
        <w:t>采购包1（人工智能训练师等级认定实训室项目）：</w:t>
      </w:r>
    </w:p>
    <w:p/>
    <w:p>
      <w:r>
        <w:rPr/>
        <w:t>1)1.本项目不接受联合体投标。2.供应商未被列入“信用中国”网站中“记录失信被执行人或重大税收违法案件当事人名单或政府采购严重违法失信行为”的记录名单；不处于“中国政府采购网”中“政府采购严重违法失信行为信息记录”的禁止参加政府采购活动期间（以采购代理机构或采购人于资格审查时在上述网站查询结果为准，如在上述网站查询结果均显示没有相关记录，视为没有上述不良信用记录。同时对信用信息查询记录和证据截图存档。如相关失信记录已失效，供应商须提供相关证明资料）。3.供应商必须符合法律、行政法规规定的其他条件：依据《投标函》。</w:t>
      </w:r>
    </w:p>
    <w:p/>
    <w:p>
      <w:r>
        <w:rPr>
          <w:b/>
          <w:sz w:val="28"/>
        </w:rPr>
        <w:t>三.获取招标文件</w:t>
      </w:r>
    </w:p>
    <w:p>
      <w:pPr>
        <w:ind w:firstLine="480"/>
      </w:pPr>
      <w:r>
        <w:rPr/>
        <w:t>时间：详见招标公告及其变更公告（如有）</w:t>
      </w:r>
    </w:p>
    <w:p>
      <w:pPr>
        <w:ind w:firstLine="480"/>
      </w:pPr>
      <w:r>
        <w:rPr/>
        <w:t>地点：详见招标公告及其变更公告（如有）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ind w:firstLine="480"/>
      </w:pPr>
      <w:r>
        <w:rPr/>
        <w:t>售价：免费</w:t>
      </w:r>
    </w:p>
    <w:p>
      <w:r>
        <w:rPr>
          <w:b/>
          <w:sz w:val="28"/>
        </w:rPr>
        <w:t>四.提交投标文件截止时间、开标时间和地点：</w:t>
      </w:r>
    </w:p>
    <w:p>
      <w:pPr>
        <w:ind w:firstLine="480"/>
      </w:pPr>
      <w:r>
        <w:rPr/>
        <w:t>提交投标文件截止时间和开标时间：详见招标公告及其变更公告（如有）</w:t>
      </w:r>
    </w:p>
    <w:p>
      <w:pPr>
        <w:ind w:firstLine="480"/>
      </w:pPr>
      <w:r>
        <w:rPr/>
        <w:t>（自招标文件开始发出之日起至投标人提交投标文件截止之日止，不得少于20日）</w:t>
      </w:r>
    </w:p>
    <w:p>
      <w:pPr>
        <w:ind w:firstLine="480"/>
      </w:pPr>
      <w:r>
        <w:rPr/>
        <w:t>地点：详见招标公告及其变更公告（如有）</w:t>
      </w:r>
    </w:p>
    <w:p>
      <w:r>
        <w:rPr>
          <w:b/>
          <w:sz w:val="28"/>
        </w:rPr>
        <w:t>五.公告期限、发布公告的媒介：</w:t>
      </w:r>
    </w:p>
    <w:p>
      <w:pPr>
        <w:ind w:firstLine="480"/>
      </w:pPr>
      <w:r>
        <w:rPr/>
        <w:t>1、公告期限：自本公告发布之日起不得少于5个工作日。</w:t>
      </w:r>
    </w:p>
    <w:p>
      <w:pPr>
        <w:ind w:firstLine="480"/>
      </w:pPr>
      <w:r>
        <w:rPr/>
        <w:t>2、发布公告的媒介：中国政府采购网(www.ccgp.gov.cn)，广东省政府采购网(https://gdgpo.czt.gd.gov.cn/)</w:t>
      </w:r>
      <w:r>
        <w:rPr/>
        <w:t>广州交易集团有限公司（http://www.gzggzy.cn）</w:t>
      </w:r>
      <w:r>
        <w:rPr/>
        <w:t>。</w:t>
      </w:r>
    </w:p>
    <w:p>
      <w:r>
        <w:rPr>
          <w:b/>
          <w:sz w:val="28"/>
        </w:rPr>
        <w:t>六.本项目联系方式：</w:t>
      </w:r>
    </w:p>
    <w:p>
      <w:r>
        <w:rPr>
          <w:b/>
          <w:sz w:val="24"/>
        </w:rPr>
        <w:t>1.采购人信息</w:t>
      </w:r>
    </w:p>
    <w:p>
      <w:pPr>
        <w:ind w:firstLine="480"/>
      </w:pPr>
      <w:r>
        <w:rPr/>
        <w:t>名称：</w:t>
      </w:r>
      <w:r>
        <w:rPr/>
        <w:t>广州市公用事业技师学院</w:t>
      </w:r>
    </w:p>
    <w:p>
      <w:pPr>
        <w:ind w:firstLine="480"/>
      </w:pPr>
      <w:r>
        <w:rPr/>
        <w:t>地址：</w:t>
      </w:r>
      <w:r>
        <w:rPr/>
        <w:t>广州市越秀区东华南路162号</w:t>
      </w:r>
    </w:p>
    <w:p>
      <w:pPr>
        <w:ind w:firstLine="480"/>
      </w:pPr>
      <w:r>
        <w:rPr/>
        <w:t>联系方式：</w:t>
      </w:r>
      <w:r>
        <w:rPr/>
        <w:t>020-83797263</w:t>
      </w:r>
    </w:p>
    <w:p>
      <w:r>
        <w:rPr>
          <w:b/>
          <w:sz w:val="24"/>
        </w:rPr>
        <w:t>2.采购代理机构信息</w:t>
      </w:r>
    </w:p>
    <w:p>
      <w:pPr>
        <w:ind w:firstLine="480"/>
      </w:pPr>
      <w:r>
        <w:rPr/>
        <w:t>名称：</w:t>
      </w:r>
      <w:r>
        <w:rPr/>
        <w:t>广州市政府采购中心</w:t>
      </w:r>
    </w:p>
    <w:p>
      <w:pPr>
        <w:ind w:firstLine="480"/>
      </w:pPr>
      <w:r>
        <w:rPr/>
        <w:t>地址：</w:t>
      </w:r>
      <w:r>
        <w:rPr/>
        <w:t>广东省广州市天河区天润路333号</w:t>
      </w:r>
    </w:p>
    <w:p>
      <w:pPr>
        <w:ind w:firstLine="480"/>
      </w:pPr>
      <w:r>
        <w:rPr/>
        <w:t>联系方式：</w:t>
      </w:r>
      <w:r>
        <w:rPr/>
        <w:t>28866416、28866112、28866163</w:t>
      </w:r>
    </w:p>
    <w:p>
      <w:r>
        <w:rPr>
          <w:b/>
          <w:sz w:val="24"/>
        </w:rPr>
        <w:t>3.项目联系方式</w:t>
      </w:r>
    </w:p>
    <w:p>
      <w:pPr>
        <w:ind w:firstLine="480"/>
      </w:pPr>
      <w:r>
        <w:rPr/>
        <w:t>项目联系人：</w:t>
      </w:r>
      <w:r>
        <w:rPr/>
        <w:t>黄碧妃（项目开标、评标咨询）、桑林（采购文件咨询）、冯西韵（质疑受理）</w:t>
      </w:r>
    </w:p>
    <w:p>
      <w:pPr>
        <w:ind w:firstLine="480"/>
      </w:pPr>
      <w:r>
        <w:rPr/>
        <w:t>电话：</w:t>
      </w:r>
      <w:r>
        <w:rPr/>
        <w:t>28866416、28866112、28866163</w:t>
      </w:r>
    </w:p>
    <w:p>
      <w:r>
        <w:rPr>
          <w:b/>
          <w:sz w:val="24"/>
        </w:rPr>
        <w:t>4.技术支持联系方式</w:t>
      </w:r>
    </w:p>
    <w:p>
      <w:pPr>
        <w:ind w:firstLine="480"/>
      </w:pPr>
      <w:r>
        <w:rPr/>
        <w:t>云平台联系方式：020-88696588</w:t>
      </w:r>
    </w:p>
    <w:p>
      <w:r>
        <w:rPr/>
        <w:t>采购代理机构：</w:t>
      </w:r>
      <w:r>
        <w:rPr/>
        <w:t>广州市政府采购中心</w:t>
      </w:r>
    </w:p>
    <w:p>
      <w:pPr>
        <w:ind w:firstLine="480"/>
      </w:pPr>
    </w:p>
    <w:p>
      <w:r>
        <w:rPr/>
        <w:t xml:space="preserve"> </w:t>
      </w:r>
    </w:p>
    <w:p/>
    <w:p>
      <w:pPr>
        <w:jc w:val="center"/>
      </w:pPr>
      <w:r>
        <w:rPr>
          <w:b/>
          <w:sz w:val="36"/>
        </w:rPr>
        <w:t>第二章 采购需求</w:t>
      </w:r>
    </w:p>
    <w:p>
      <w:r>
        <w:rPr>
          <w:b/>
          <w:sz w:val="28"/>
        </w:rPr>
        <w:t>一、项目概况：</w:t>
      </w:r>
    </w:p>
    <w:p>
      <w:pPr>
        <w:ind w:firstLine="480"/>
      </w:pPr>
    </w:p>
    <w:p/>
    <w:p>
      <w:pPr>
        <w:ind w:firstLine="420"/>
        <w:jc w:val="both"/>
      </w:pPr>
      <w:r>
        <w:rPr>
          <w:sz w:val="21"/>
        </w:rPr>
        <w:t>项目属性</w:t>
      </w:r>
      <w:r>
        <w:rPr>
          <w:sz w:val="21"/>
        </w:rPr>
        <w:t>:</w:t>
      </w:r>
      <w:r>
        <w:rPr>
          <w:sz w:val="21"/>
        </w:rPr>
        <w:t>货物类。</w:t>
      </w:r>
    </w:p>
    <w:p>
      <w:pPr>
        <w:ind w:firstLine="420"/>
        <w:jc w:val="both"/>
      </w:pPr>
      <w:r>
        <w:rPr>
          <w:sz w:val="21"/>
        </w:rPr>
        <w:t>品目类别：</w:t>
      </w:r>
      <w:r>
        <w:rPr>
          <w:sz w:val="21"/>
        </w:rPr>
        <w:t>其他电气机械设备</w:t>
      </w:r>
    </w:p>
    <w:p>
      <w:pPr>
        <w:ind w:firstLine="420"/>
        <w:jc w:val="both"/>
      </w:pPr>
      <w:r>
        <w:rPr>
          <w:sz w:val="21"/>
        </w:rPr>
        <w:t>品目编码：</w:t>
      </w:r>
      <w:r>
        <w:rPr>
          <w:sz w:val="21"/>
        </w:rPr>
        <w:t>A02062099</w:t>
      </w:r>
    </w:p>
    <w:p>
      <w:pPr>
        <w:ind w:firstLine="420"/>
        <w:jc w:val="both"/>
      </w:pPr>
      <w:r>
        <w:rPr>
          <w:sz w:val="21"/>
        </w:rPr>
        <w:t>本项目采购的核心产品：人工智能训练师实训平台。（多家投标人提供的核心产品中任意一个产品品牌相同的，按一家投标人计算）。投标人必须在投标文件中填写所投核心产品的品牌，否则按无效投标处理。</w:t>
      </w:r>
    </w:p>
    <w:p>
      <w:pPr>
        <w:ind w:firstLine="420"/>
        <w:jc w:val="both"/>
      </w:pPr>
      <w:r>
        <w:rPr>
          <w:sz w:val="21"/>
        </w:rPr>
        <w:t>★本次采购产品为非进口产品（进口产品指通过中国海关报关验放进入中国境内且产自关境外的产品）。</w:t>
      </w:r>
    </w:p>
    <w:p>
      <w:pPr>
        <w:ind w:firstLine="420"/>
        <w:jc w:val="both"/>
      </w:pPr>
      <w:r>
        <w:rPr>
          <w:sz w:val="21"/>
        </w:rPr>
        <w:t>★凡属于《中华人民共和国实施强制性产品认证的产品目录》的产品，请投标人在投标文件中承诺在交货时提供该产品的“中国强制性产品认证”（</w:t>
      </w:r>
      <w:r>
        <w:rPr>
          <w:sz w:val="21"/>
        </w:rPr>
        <w:t>CCC</w:t>
      </w:r>
      <w:r>
        <w:rPr>
          <w:sz w:val="21"/>
        </w:rPr>
        <w:t>认证）证书。</w:t>
      </w:r>
    </w:p>
    <w:p>
      <w:pPr>
        <w:ind w:firstLine="480"/>
        <w:jc w:val="both"/>
      </w:pPr>
    </w:p>
    <w:p>
      <w:pPr>
        <w:jc w:val="both"/>
      </w:pPr>
    </w:p>
    <w:p>
      <w:pPr>
        <w:ind w:firstLine="420"/>
        <w:jc w:val="both"/>
      </w:pPr>
      <w:r>
        <w:rPr>
          <w:sz w:val="21"/>
        </w:rPr>
        <w:t>1</w:t>
      </w:r>
      <w:r>
        <w:rPr>
          <w:sz w:val="21"/>
        </w:rPr>
        <w:t>．项目名称：人工智能训练师等级认定实训室项目</w:t>
      </w:r>
    </w:p>
    <w:p>
      <w:pPr>
        <w:ind w:firstLine="420"/>
        <w:jc w:val="both"/>
      </w:pPr>
      <w:r>
        <w:rPr>
          <w:sz w:val="21"/>
        </w:rPr>
        <w:t>2</w:t>
      </w:r>
      <w:r>
        <w:rPr>
          <w:sz w:val="21"/>
        </w:rPr>
        <w:t>．项目预算：</w:t>
      </w:r>
      <w:r>
        <w:rPr>
          <w:sz w:val="21"/>
          <w:u w:val="single"/>
        </w:rPr>
        <w:t>240</w:t>
      </w:r>
      <w:r>
        <w:rPr>
          <w:sz w:val="21"/>
        </w:rPr>
        <w:t>万元。投标报价不得超出货物单价限价，否则视为无效投标。</w:t>
      </w:r>
    </w:p>
    <w:p>
      <w:pPr>
        <w:ind w:firstLine="420"/>
        <w:jc w:val="both"/>
      </w:pPr>
      <w:r>
        <w:rPr>
          <w:sz w:val="21"/>
        </w:rPr>
        <w:t>3</w:t>
      </w:r>
      <w:r>
        <w:rPr>
          <w:sz w:val="21"/>
        </w:rPr>
        <w:t>．采购品目：</w:t>
      </w:r>
      <w:r>
        <w:rPr>
          <w:sz w:val="21"/>
        </w:rPr>
        <w:t>其他电气机械设备</w:t>
      </w:r>
    </w:p>
    <w:p>
      <w:pPr>
        <w:ind w:firstLine="420"/>
        <w:jc w:val="both"/>
      </w:pPr>
      <w:r>
        <w:rPr>
          <w:sz w:val="21"/>
        </w:rPr>
        <w:t>4</w:t>
      </w:r>
      <w:r>
        <w:rPr>
          <w:sz w:val="21"/>
        </w:rPr>
        <w:t>．交货期：合同签订后</w:t>
      </w:r>
      <w:r>
        <w:rPr>
          <w:sz w:val="21"/>
          <w:u w:val="single"/>
        </w:rPr>
        <w:t>60</w:t>
      </w:r>
      <w:r>
        <w:rPr>
          <w:sz w:val="21"/>
        </w:rPr>
        <w:t>个自然日内（完成</w:t>
      </w:r>
      <w:r>
        <w:rPr>
          <w:sz w:val="21"/>
        </w:rPr>
        <w:t>供货、安装、调试和验收工作</w:t>
      </w:r>
      <w:r>
        <w:rPr>
          <w:sz w:val="21"/>
        </w:rPr>
        <w:t>）。</w:t>
      </w:r>
    </w:p>
    <w:p>
      <w:pPr>
        <w:ind w:firstLine="420"/>
        <w:jc w:val="both"/>
      </w:pPr>
      <w:r>
        <w:rPr>
          <w:sz w:val="21"/>
        </w:rPr>
        <w:t>5</w:t>
      </w:r>
      <w:r>
        <w:rPr>
          <w:sz w:val="21"/>
        </w:rPr>
        <w:t>．交货地点：</w:t>
      </w:r>
      <w:r>
        <w:rPr>
          <w:sz w:val="21"/>
        </w:rPr>
        <w:t>广州市公用事业技师学院指定地点。</w:t>
      </w:r>
    </w:p>
    <w:p>
      <w:pPr>
        <w:ind w:firstLine="420"/>
        <w:jc w:val="both"/>
      </w:pPr>
      <w:r>
        <w:rPr>
          <w:sz w:val="21"/>
        </w:rPr>
        <w:t>6</w:t>
      </w:r>
      <w:r>
        <w:rPr>
          <w:sz w:val="21"/>
        </w:rPr>
        <w:t>．项目概述：广州市公用事业技师学院是广州市人力资源和社会保障局下属的一所公立技工院校，为适应区域经济转型和产业升级对高技能人才的需要，促进专业建设的可持续发展，补充现阶段对教学硬件的需求，打造产教融合基地，实现专业与产业无缝对接。人工智能训练师是近年随着人工智能技术的广泛应用，产生的新兴职业。根据国家人力资源社会保障部2021年颁布的《人工智能训练师国家职业技能标准》对人工智能训练师职位的定义，人工智能训练师是指“使用智能训练软件，在人工智能产品使用过程中进行数据库管理、算法参数设置、人机交互设计、性能测试跟踪及其他辅助作业的人员”。本项目旨在建设一个功能开放、设备安全、性能稳定、课程成熟、软硬件兼备的人工智能训练师职业鉴定站点，不仅能满足采购人人工智能技术实践和创新实训和职业鉴定考试认证要求，同时可承接周边院校及社会人员进行考证及开展培训服务。</w:t>
      </w:r>
    </w:p>
    <w:p>
      <w:pPr>
        <w:ind w:firstLine="420"/>
        <w:jc w:val="both"/>
      </w:pPr>
      <w:r>
        <w:rPr>
          <w:sz w:val="21"/>
        </w:rPr>
        <w:t>7.</w:t>
      </w:r>
      <w:r>
        <w:rPr>
          <w:sz w:val="21"/>
        </w:rPr>
        <w:t>实操视频演示要求</w:t>
      </w:r>
    </w:p>
    <w:p>
      <w:pPr>
        <w:ind w:firstLine="420"/>
        <w:jc w:val="both"/>
      </w:pPr>
      <w:r>
        <w:rPr>
          <w:sz w:val="21"/>
        </w:rPr>
        <w:t>本项目要求在评标过程中进行实操视频演示，建议供应商在投标文件解密时间截止后1小时内到达采购代理机构等候。实操视频演示开始时间由评标委员会确定，如供应商未在评标委员会规定的时间内到达实操视频演示地点进行实操视频演示，评标委员会有权视其放弃实操视频演示。等候地点：广州市天河区天润路445号广州市政府采购中心（太阳广场）四楼。</w:t>
      </w:r>
    </w:p>
    <w:p>
      <w:pPr>
        <w:ind w:firstLine="420"/>
        <w:jc w:val="both"/>
      </w:pPr>
      <w:r>
        <w:rPr>
          <w:sz w:val="21"/>
        </w:rPr>
        <w:t>（一）本项目由有效投标人于评标过程中进行实操视频演示，请投标人自行准备相关文件。</w:t>
      </w:r>
    </w:p>
    <w:p>
      <w:pPr>
        <w:ind w:firstLine="420"/>
        <w:jc w:val="both"/>
      </w:pPr>
      <w:r>
        <w:rPr>
          <w:sz w:val="21"/>
        </w:rPr>
        <w:t>（二）授权委托代理人须凭身份证原件参加实操视频演示，参加人数不超过3人（含授权委托代理人在内）。</w:t>
      </w:r>
    </w:p>
    <w:p>
      <w:pPr>
        <w:ind w:firstLine="420"/>
        <w:jc w:val="both"/>
      </w:pPr>
      <w:r>
        <w:rPr>
          <w:sz w:val="21"/>
        </w:rPr>
        <w:t>（三）如实操视频演示过程中需要用到电脑等设备（设备不能共用），请投标人自带，评标现场仅提供电源和投影设备。</w:t>
      </w:r>
    </w:p>
    <w:p>
      <w:pPr>
        <w:ind w:firstLine="420"/>
        <w:jc w:val="both"/>
      </w:pPr>
      <w:r>
        <w:rPr>
          <w:sz w:val="21"/>
        </w:rPr>
        <w:t>（四）实操视频演示时间约15分钟。</w:t>
      </w:r>
    </w:p>
    <w:p>
      <w:pPr>
        <w:ind w:firstLine="420"/>
        <w:jc w:val="both"/>
      </w:pPr>
      <w:r>
        <w:rPr>
          <w:sz w:val="21"/>
        </w:rPr>
        <w:t>（五）实操视频演示的内容为：</w:t>
      </w:r>
      <w:r>
        <w:rPr>
          <w:sz w:val="21"/>
        </w:rPr>
        <w:t>详见第四章</w:t>
      </w:r>
      <w:r>
        <w:rPr>
          <w:sz w:val="21"/>
        </w:rPr>
        <w:t>-</w:t>
      </w:r>
      <w:r>
        <w:rPr>
          <w:sz w:val="21"/>
        </w:rPr>
        <w:t>详细评审</w:t>
      </w:r>
      <w:r>
        <w:rPr>
          <w:sz w:val="21"/>
        </w:rPr>
        <w:t>-</w:t>
      </w:r>
      <w:r>
        <w:rPr>
          <w:sz w:val="21"/>
        </w:rPr>
        <w:t>技术部分相应的要求</w:t>
      </w:r>
      <w:r>
        <w:rPr>
          <w:sz w:val="21"/>
        </w:rPr>
        <w:t>。</w:t>
      </w:r>
    </w:p>
    <w:p/>
    <w:p/>
    <w:p/>
    <w:p>
      <w:pPr>
        <w:jc w:val="both"/>
      </w:pPr>
      <w:r>
        <w:rPr>
          <w:b/>
          <w:sz w:val="32"/>
        </w:rPr>
        <w:t>二、 项目采购清单及技术参数</w:t>
      </w:r>
    </w:p>
    <w:p>
      <w:r>
        <w:rPr>
          <w:b/>
          <w:color w:val="000000"/>
          <w:sz w:val="28"/>
        </w:rPr>
        <w:t>（一）采购项目清单</w:t>
      </w:r>
    </w:p>
    <w:tbl>
      <w:tblPr>
        <w:tblW w:w="0" w:type="auto"/>
        <w:tblBorders>
          <w:top w:val="none" w:color="000000" w:sz="4"/>
          <w:left w:val="none" w:color="000000" w:sz="4"/>
          <w:bottom w:val="none" w:color="000000" w:sz="4"/>
          <w:right w:val="none" w:color="000000" w:sz="4"/>
          <w:insideH w:val="none"/>
          <w:insideV w:val="none"/>
        </w:tblBorders>
        <w:shd w:fill="FFFFFF"/>
      </w:tblPr>
      <w:tblGrid>
        <w:gridCol w:w="644"/>
        <w:gridCol w:w="644"/>
        <w:gridCol w:w="1040"/>
        <w:gridCol w:w="1435"/>
        <w:gridCol w:w="571"/>
        <w:gridCol w:w="644"/>
        <w:gridCol w:w="849"/>
        <w:gridCol w:w="1025"/>
        <w:gridCol w:w="717"/>
        <w:gridCol w:w="717"/>
      </w:tblGrid>
      <w:tr>
        <w:tc>
          <w:tcPr>
            <w:tcW w:type="dxa" w:w="644"/>
            <w:tcBorders>
              <w:top w:val="single" w:color="000000" w:sz="4"/>
              <w:left w:val="single" w:color="000000" w:sz="4"/>
              <w:bottom w:val="single" w:color="000000" w:sz="4"/>
              <w:right w:val="single" w:color="000000" w:sz="4"/>
            </w:tcBorders>
            <w:shd w:fill="FFFFFF"/>
          </w:tcPr>
          <w:p>
            <w:pPr>
              <w:jc w:val="center"/>
            </w:pPr>
            <w:r>
              <w:rPr>
                <w:sz w:val="21"/>
              </w:rPr>
              <w:t>序号</w:t>
            </w:r>
          </w:p>
        </w:tc>
        <w:tc>
          <w:tcPr>
            <w:tcW w:type="dxa" w:w="644"/>
            <w:tcBorders>
              <w:top w:val="single" w:color="000000" w:sz="4"/>
              <w:left w:val="none" w:color="000000" w:sz="4"/>
              <w:bottom w:val="single" w:color="000000" w:sz="4"/>
              <w:right w:val="single" w:color="000000" w:sz="4"/>
            </w:tcBorders>
            <w:shd w:fill="FFFFFF"/>
          </w:tcPr>
          <w:p>
            <w:pPr>
              <w:jc w:val="center"/>
            </w:pPr>
            <w:r>
              <w:rPr>
                <w:sz w:val="21"/>
              </w:rPr>
              <w:t>核 心 产 品（△）</w:t>
            </w:r>
          </w:p>
        </w:tc>
        <w:tc>
          <w:tcPr>
            <w:tcW w:type="dxa" w:w="1040"/>
            <w:tcBorders>
              <w:top w:val="single" w:color="000000" w:sz="4"/>
              <w:left w:val="none" w:color="000000" w:sz="4"/>
              <w:bottom w:val="single" w:color="000000" w:sz="4"/>
              <w:right w:val="single" w:color="000000" w:sz="4"/>
            </w:tcBorders>
            <w:shd w:fill="FFFFFF"/>
          </w:tcPr>
          <w:p>
            <w:pPr>
              <w:jc w:val="center"/>
            </w:pPr>
            <w:r>
              <w:rPr>
                <w:sz w:val="21"/>
              </w:rPr>
              <w:t>采购品目及分类编码</w:t>
            </w:r>
          </w:p>
        </w:tc>
        <w:tc>
          <w:tcPr>
            <w:tcW w:type="dxa" w:w="1435"/>
            <w:tcBorders>
              <w:top w:val="single" w:color="000000" w:sz="4"/>
              <w:left w:val="none" w:color="000000" w:sz="4"/>
              <w:bottom w:val="single" w:color="000000" w:sz="4"/>
              <w:right w:val="single" w:color="000000" w:sz="4"/>
            </w:tcBorders>
            <w:shd w:fill="FFFFFF"/>
          </w:tcPr>
          <w:p>
            <w:pPr>
              <w:jc w:val="center"/>
            </w:pPr>
            <w:r>
              <w:rPr>
                <w:sz w:val="21"/>
              </w:rPr>
              <w:t>货物名称</w:t>
            </w:r>
          </w:p>
        </w:tc>
        <w:tc>
          <w:tcPr>
            <w:tcW w:type="dxa" w:w="571"/>
            <w:tcBorders>
              <w:top w:val="single" w:color="000000" w:sz="4"/>
              <w:left w:val="none" w:color="000000" w:sz="4"/>
              <w:bottom w:val="single" w:color="000000" w:sz="4"/>
              <w:right w:val="single" w:color="000000" w:sz="4"/>
            </w:tcBorders>
            <w:shd w:fill="FFFFFF"/>
          </w:tcPr>
          <w:p>
            <w:pPr>
              <w:jc w:val="center"/>
            </w:pPr>
            <w:r>
              <w:rPr>
                <w:sz w:val="21"/>
              </w:rPr>
              <w:t>单位</w:t>
            </w:r>
          </w:p>
        </w:tc>
        <w:tc>
          <w:tcPr>
            <w:tcW w:type="dxa" w:w="644"/>
            <w:tcBorders>
              <w:top w:val="single" w:color="000000" w:sz="4"/>
              <w:left w:val="none" w:color="000000" w:sz="4"/>
              <w:bottom w:val="single" w:color="000000" w:sz="4"/>
              <w:right w:val="single" w:color="000000" w:sz="4"/>
            </w:tcBorders>
            <w:shd w:fill="FFFFFF"/>
          </w:tcPr>
          <w:p>
            <w:pPr>
              <w:jc w:val="center"/>
            </w:pPr>
            <w:r>
              <w:rPr>
                <w:sz w:val="21"/>
              </w:rPr>
              <w:t>数量</w:t>
            </w:r>
          </w:p>
        </w:tc>
        <w:tc>
          <w:tcPr>
            <w:tcW w:type="dxa" w:w="849"/>
            <w:tcBorders>
              <w:top w:val="single" w:color="000000" w:sz="4"/>
              <w:left w:val="none" w:color="000000" w:sz="4"/>
              <w:bottom w:val="single" w:color="000000" w:sz="4"/>
              <w:right w:val="single" w:color="000000" w:sz="4"/>
            </w:tcBorders>
            <w:shd w:fill="FFFFFF"/>
          </w:tcPr>
          <w:p>
            <w:pPr>
              <w:jc w:val="center"/>
            </w:pPr>
            <w:r>
              <w:rPr>
                <w:sz w:val="21"/>
              </w:rPr>
              <w:t>单价限价</w:t>
            </w:r>
          </w:p>
          <w:p>
            <w:pPr>
              <w:jc w:val="center"/>
            </w:pPr>
            <w:r>
              <w:rPr>
                <w:sz w:val="21"/>
              </w:rPr>
              <w:t>（万元）</w:t>
            </w:r>
          </w:p>
        </w:tc>
        <w:tc>
          <w:tcPr>
            <w:tcW w:type="dxa" w:w="1025"/>
            <w:tcBorders>
              <w:top w:val="single" w:color="000000" w:sz="4"/>
              <w:left w:val="none" w:color="000000" w:sz="4"/>
              <w:bottom w:val="single" w:color="000000" w:sz="4"/>
              <w:right w:val="single" w:color="000000" w:sz="4"/>
            </w:tcBorders>
            <w:shd w:fill="FFFFFF"/>
          </w:tcPr>
          <w:p>
            <w:pPr>
              <w:jc w:val="center"/>
            </w:pPr>
            <w:r>
              <w:rPr>
                <w:sz w:val="21"/>
              </w:rPr>
              <w:t>总价限价（万元）</w:t>
            </w:r>
          </w:p>
        </w:tc>
        <w:tc>
          <w:tcPr>
            <w:tcW w:type="dxa" w:w="717"/>
            <w:tcBorders>
              <w:top w:val="single" w:color="000000" w:sz="4"/>
              <w:left w:val="none" w:color="000000" w:sz="4"/>
              <w:bottom w:val="single" w:color="000000" w:sz="4"/>
              <w:right w:val="single" w:color="000000" w:sz="4"/>
            </w:tcBorders>
            <w:shd w:fill="FFFFFF"/>
          </w:tcPr>
          <w:p>
            <w:pPr>
              <w:jc w:val="center"/>
            </w:pPr>
            <w:r>
              <w:rPr>
                <w:sz w:val="21"/>
              </w:rPr>
              <w:t>所属行业</w:t>
            </w:r>
          </w:p>
        </w:tc>
        <w:tc>
          <w:tcPr>
            <w:tcW w:type="dxa" w:w="717"/>
            <w:tcBorders>
              <w:top w:val="single" w:color="000000" w:sz="4"/>
              <w:left w:val="none" w:color="000000" w:sz="4"/>
              <w:bottom w:val="single" w:color="000000" w:sz="4"/>
              <w:right w:val="single" w:color="000000" w:sz="4"/>
            </w:tcBorders>
            <w:shd w:fill="FFFFFF"/>
          </w:tcPr>
          <w:p>
            <w:pPr>
              <w:jc w:val="center"/>
            </w:pPr>
            <w:r>
              <w:rPr>
                <w:sz w:val="21"/>
              </w:rPr>
              <w:t>备注</w:t>
            </w:r>
          </w:p>
        </w:tc>
      </w:tr>
      <w:tr>
        <w:tc>
          <w:tcPr>
            <w:tcW w:type="dxa" w:w="644"/>
            <w:tcBorders>
              <w:top w:val="none" w:color="000000" w:sz="4"/>
              <w:left w:val="single" w:color="000000" w:sz="4"/>
              <w:bottom w:val="single" w:color="000000" w:sz="4"/>
              <w:right w:val="single" w:color="000000" w:sz="4"/>
            </w:tcBorders>
            <w:shd w:fill="FFFFFF"/>
          </w:tcPr>
          <w:p>
            <w:pPr>
              <w:jc w:val="center"/>
            </w:pPr>
            <w:r>
              <w:rPr>
                <w:sz w:val="21"/>
              </w:rPr>
              <w:t>1</w:t>
            </w:r>
          </w:p>
        </w:tc>
        <w:tc>
          <w:tcPr>
            <w:tcW w:type="dxa" w:w="644"/>
            <w:tcBorders>
              <w:top w:val="none" w:color="000000" w:sz="4"/>
              <w:left w:val="none" w:color="000000" w:sz="4"/>
              <w:bottom w:val="single" w:color="000000" w:sz="4"/>
              <w:right w:val="single" w:color="000000" w:sz="4"/>
            </w:tcBorders>
            <w:shd w:fill="FFFFFF"/>
          </w:tcPr>
          <w:p>
            <w:pPr>
              <w:jc w:val="center"/>
            </w:pPr>
          </w:p>
        </w:tc>
        <w:tc>
          <w:tcPr>
            <w:tcW w:type="dxa" w:w="1040"/>
            <w:tcBorders>
              <w:top w:val="none" w:color="000000" w:sz="4"/>
              <w:left w:val="none" w:color="000000" w:sz="4"/>
              <w:bottom w:val="single" w:color="000000" w:sz="4"/>
              <w:right w:val="single" w:color="000000" w:sz="4"/>
            </w:tcBorders>
            <w:shd w:fill="FFFFFF"/>
          </w:tcPr>
          <w:p>
            <w:pPr>
              <w:jc w:val="center"/>
            </w:pPr>
            <w:r>
              <w:rPr>
                <w:sz w:val="21"/>
              </w:rPr>
              <w:t>其他电气机械设备</w:t>
            </w:r>
            <w:r>
              <w:rPr>
                <w:sz w:val="21"/>
              </w:rPr>
              <w:t>/A02062099</w:t>
            </w:r>
          </w:p>
        </w:tc>
        <w:tc>
          <w:tcPr>
            <w:tcW w:type="dxa" w:w="1435"/>
            <w:tcBorders>
              <w:top w:val="none" w:color="000000" w:sz="4"/>
              <w:left w:val="none" w:color="000000" w:sz="4"/>
              <w:bottom w:val="single" w:color="000000" w:sz="4"/>
              <w:right w:val="single" w:color="000000" w:sz="4"/>
            </w:tcBorders>
            <w:shd w:fill="FFFFFF"/>
          </w:tcPr>
          <w:p>
            <w:pPr>
              <w:jc w:val="center"/>
            </w:pPr>
            <w:r>
              <w:rPr>
                <w:b/>
                <w:sz w:val="24"/>
              </w:rPr>
              <w:t>人工智能训练师实训平台</w:t>
            </w:r>
          </w:p>
        </w:tc>
        <w:tc>
          <w:tcPr>
            <w:tcW w:type="dxa" w:w="571"/>
            <w:tcBorders>
              <w:top w:val="none" w:color="000000" w:sz="4"/>
              <w:left w:val="none" w:color="000000" w:sz="4"/>
              <w:bottom w:val="single" w:color="000000" w:sz="4"/>
              <w:right w:val="single" w:color="000000" w:sz="4"/>
            </w:tcBorders>
            <w:shd w:fill="FFFFFF"/>
          </w:tcPr>
          <w:p>
            <w:pPr>
              <w:jc w:val="center"/>
            </w:pPr>
            <w:r>
              <w:rPr>
                <w:sz w:val="21"/>
              </w:rPr>
              <w:t>套</w:t>
            </w:r>
          </w:p>
        </w:tc>
        <w:tc>
          <w:tcPr>
            <w:tcW w:type="dxa" w:w="644"/>
            <w:tcBorders>
              <w:top w:val="none" w:color="000000" w:sz="4"/>
              <w:left w:val="none" w:color="000000" w:sz="4"/>
              <w:bottom w:val="single" w:color="000000" w:sz="4"/>
              <w:right w:val="single" w:color="000000" w:sz="4"/>
            </w:tcBorders>
            <w:shd w:fill="FFFFFF"/>
          </w:tcPr>
          <w:p>
            <w:pPr>
              <w:jc w:val="center"/>
            </w:pPr>
            <w:r>
              <w:rPr>
                <w:sz w:val="21"/>
              </w:rPr>
              <w:t>1</w:t>
            </w:r>
          </w:p>
        </w:tc>
        <w:tc>
          <w:tcPr>
            <w:tcW w:type="dxa" w:w="849"/>
            <w:tcBorders>
              <w:top w:val="none" w:color="000000" w:sz="4"/>
              <w:left w:val="none" w:color="000000" w:sz="4"/>
              <w:bottom w:val="single" w:color="000000" w:sz="4"/>
              <w:right w:val="single" w:color="000000" w:sz="4"/>
            </w:tcBorders>
            <w:shd w:fill="FFFFFF"/>
          </w:tcPr>
          <w:p>
            <w:pPr>
              <w:jc w:val="center"/>
            </w:pPr>
            <w:r>
              <w:rPr>
                <w:sz w:val="21"/>
              </w:rPr>
              <w:t>89.5</w:t>
            </w:r>
          </w:p>
        </w:tc>
        <w:tc>
          <w:tcPr>
            <w:tcW w:type="dxa" w:w="1025"/>
            <w:tcBorders>
              <w:top w:val="none" w:color="000000" w:sz="4"/>
              <w:left w:val="none" w:color="000000" w:sz="4"/>
              <w:bottom w:val="single" w:color="000000" w:sz="4"/>
              <w:right w:val="single" w:color="000000" w:sz="4"/>
            </w:tcBorders>
            <w:shd w:fill="FFFFFF"/>
          </w:tcPr>
          <w:p>
            <w:pPr>
              <w:jc w:val="center"/>
            </w:pPr>
            <w:r>
              <w:rPr>
                <w:b/>
                <w:sz w:val="24"/>
              </w:rPr>
              <w:t>89.5</w:t>
            </w:r>
          </w:p>
        </w:tc>
        <w:tc>
          <w:tcPr>
            <w:tcW w:type="dxa" w:w="717"/>
            <w:tcBorders>
              <w:top w:val="none" w:color="000000" w:sz="4"/>
              <w:left w:val="none" w:color="000000" w:sz="4"/>
              <w:bottom w:val="single" w:color="000000" w:sz="4"/>
              <w:right w:val="single" w:color="000000" w:sz="4"/>
            </w:tcBorders>
            <w:shd w:fill="FFFFFF"/>
          </w:tcPr>
          <w:p>
            <w:pPr>
              <w:jc w:val="center"/>
            </w:pPr>
            <w:r>
              <w:rPr>
                <w:sz w:val="21"/>
              </w:rPr>
              <w:t>工业</w:t>
            </w:r>
          </w:p>
        </w:tc>
        <w:tc>
          <w:tcPr>
            <w:tcW w:type="dxa" w:w="717"/>
            <w:tcBorders>
              <w:top w:val="none" w:color="000000" w:sz="4"/>
              <w:left w:val="none" w:color="000000" w:sz="4"/>
              <w:bottom w:val="single" w:color="000000" w:sz="4"/>
              <w:right w:val="single" w:color="000000" w:sz="4"/>
            </w:tcBorders>
            <w:shd w:fill="FFFFFF"/>
          </w:tcPr>
          <w:p>
            <w:pPr>
              <w:jc w:val="center"/>
            </w:pPr>
            <w:r>
              <w:rPr>
                <w:sz w:val="21"/>
              </w:rPr>
              <w:t>/</w:t>
            </w:r>
          </w:p>
        </w:tc>
      </w:tr>
      <w:tr>
        <w:tc>
          <w:tcPr>
            <w:tcW w:type="dxa" w:w="644"/>
            <w:tcBorders>
              <w:top w:val="none" w:color="000000" w:sz="4"/>
              <w:left w:val="single" w:color="000000" w:sz="4"/>
              <w:bottom w:val="single" w:color="000000" w:sz="4"/>
              <w:right w:val="single" w:color="000000" w:sz="4"/>
            </w:tcBorders>
            <w:shd w:fill="FFFFFF"/>
          </w:tcPr>
          <w:p>
            <w:pPr>
              <w:jc w:val="center"/>
            </w:pPr>
            <w:r>
              <w:rPr>
                <w:sz w:val="21"/>
              </w:rPr>
              <w:t>2</w:t>
            </w:r>
          </w:p>
        </w:tc>
        <w:tc>
          <w:tcPr>
            <w:tcW w:type="dxa" w:w="644"/>
            <w:tcBorders>
              <w:top w:val="none" w:color="000000" w:sz="4"/>
              <w:left w:val="none" w:color="000000" w:sz="4"/>
              <w:bottom w:val="single" w:color="000000" w:sz="4"/>
              <w:right w:val="single" w:color="000000" w:sz="4"/>
            </w:tcBorders>
            <w:shd w:fill="FFFFFF"/>
          </w:tcPr>
          <w:p>
            <w:pPr>
              <w:jc w:val="center"/>
            </w:pPr>
          </w:p>
        </w:tc>
        <w:tc>
          <w:tcPr>
            <w:tcW w:type="dxa" w:w="1040"/>
            <w:tcBorders>
              <w:top w:val="none" w:color="000000" w:sz="4"/>
              <w:left w:val="none" w:color="000000" w:sz="4"/>
              <w:bottom w:val="single" w:color="000000" w:sz="4"/>
              <w:right w:val="single" w:color="000000" w:sz="4"/>
            </w:tcBorders>
            <w:shd w:fill="FFFFFF"/>
          </w:tcPr>
          <w:p>
            <w:pPr>
              <w:jc w:val="center"/>
            </w:pPr>
            <w:r>
              <w:rPr>
                <w:sz w:val="21"/>
              </w:rPr>
              <w:t>其他电气机械设备</w:t>
            </w:r>
            <w:r>
              <w:rPr>
                <w:sz w:val="21"/>
              </w:rPr>
              <w:t>/A02062099</w:t>
            </w:r>
          </w:p>
        </w:tc>
        <w:tc>
          <w:tcPr>
            <w:tcW w:type="dxa" w:w="1435"/>
            <w:tcBorders>
              <w:top w:val="none" w:color="000000" w:sz="4"/>
              <w:left w:val="none" w:color="000000" w:sz="4"/>
              <w:bottom w:val="single" w:color="000000" w:sz="4"/>
              <w:right w:val="single" w:color="000000" w:sz="4"/>
            </w:tcBorders>
            <w:shd w:fill="FFFFFF"/>
          </w:tcPr>
          <w:p>
            <w:pPr>
              <w:jc w:val="center"/>
            </w:pPr>
            <w:r>
              <w:rPr>
                <w:b/>
                <w:sz w:val="24"/>
              </w:rPr>
              <w:t>人工智能计算机视觉实验平台</w:t>
            </w:r>
          </w:p>
        </w:tc>
        <w:tc>
          <w:tcPr>
            <w:tcW w:type="dxa" w:w="571"/>
            <w:tcBorders>
              <w:top w:val="none" w:color="000000" w:sz="4"/>
              <w:left w:val="none" w:color="000000" w:sz="4"/>
              <w:bottom w:val="single" w:color="000000" w:sz="4"/>
              <w:right w:val="single" w:color="000000" w:sz="4"/>
            </w:tcBorders>
            <w:shd w:fill="FFFFFF"/>
          </w:tcPr>
          <w:p>
            <w:pPr>
              <w:jc w:val="center"/>
            </w:pPr>
            <w:r>
              <w:rPr>
                <w:sz w:val="21"/>
              </w:rPr>
              <w:t>套</w:t>
            </w:r>
          </w:p>
        </w:tc>
        <w:tc>
          <w:tcPr>
            <w:tcW w:type="dxa" w:w="644"/>
            <w:tcBorders>
              <w:top w:val="none" w:color="000000" w:sz="4"/>
              <w:left w:val="none" w:color="000000" w:sz="4"/>
              <w:bottom w:val="single" w:color="000000" w:sz="4"/>
              <w:right w:val="single" w:color="000000" w:sz="4"/>
            </w:tcBorders>
            <w:shd w:fill="FFFFFF"/>
          </w:tcPr>
          <w:p>
            <w:pPr>
              <w:jc w:val="center"/>
            </w:pPr>
            <w:r>
              <w:rPr>
                <w:sz w:val="21"/>
              </w:rPr>
              <w:t>30</w:t>
            </w:r>
          </w:p>
        </w:tc>
        <w:tc>
          <w:tcPr>
            <w:tcW w:type="dxa" w:w="849"/>
            <w:tcBorders>
              <w:top w:val="none" w:color="000000" w:sz="4"/>
              <w:left w:val="none" w:color="000000" w:sz="4"/>
              <w:bottom w:val="single" w:color="000000" w:sz="4"/>
              <w:right w:val="single" w:color="000000" w:sz="4"/>
            </w:tcBorders>
            <w:shd w:fill="FFFFFF"/>
          </w:tcPr>
          <w:p>
            <w:pPr>
              <w:jc w:val="center"/>
            </w:pPr>
            <w:r>
              <w:rPr>
                <w:sz w:val="21"/>
              </w:rPr>
              <w:t>4.2</w:t>
            </w:r>
          </w:p>
        </w:tc>
        <w:tc>
          <w:tcPr>
            <w:tcW w:type="dxa" w:w="1025"/>
            <w:tcBorders>
              <w:top w:val="none" w:color="000000" w:sz="4"/>
              <w:left w:val="none" w:color="000000" w:sz="4"/>
              <w:bottom w:val="single" w:color="000000" w:sz="4"/>
              <w:right w:val="single" w:color="000000" w:sz="4"/>
            </w:tcBorders>
            <w:shd w:fill="FFFFFF"/>
          </w:tcPr>
          <w:p>
            <w:pPr>
              <w:jc w:val="center"/>
            </w:pPr>
            <w:r>
              <w:rPr>
                <w:b/>
                <w:sz w:val="24"/>
              </w:rPr>
              <w:t>126</w:t>
            </w:r>
          </w:p>
        </w:tc>
        <w:tc>
          <w:tcPr>
            <w:tcW w:type="dxa" w:w="717"/>
            <w:tcBorders>
              <w:top w:val="none" w:color="000000" w:sz="4"/>
              <w:left w:val="none" w:color="000000" w:sz="4"/>
              <w:bottom w:val="single" w:color="000000" w:sz="4"/>
              <w:right w:val="single" w:color="000000" w:sz="4"/>
            </w:tcBorders>
            <w:shd w:fill="FFFFFF"/>
          </w:tcPr>
          <w:p>
            <w:pPr>
              <w:jc w:val="center"/>
            </w:pPr>
            <w:r>
              <w:rPr>
                <w:sz w:val="21"/>
              </w:rPr>
              <w:t>工业</w:t>
            </w:r>
          </w:p>
        </w:tc>
        <w:tc>
          <w:tcPr>
            <w:tcW w:type="dxa" w:w="717"/>
            <w:tcBorders>
              <w:top w:val="none" w:color="000000" w:sz="4"/>
              <w:left w:val="none" w:color="000000" w:sz="4"/>
              <w:bottom w:val="single" w:color="000000" w:sz="4"/>
              <w:right w:val="single" w:color="000000" w:sz="4"/>
            </w:tcBorders>
            <w:shd w:fill="FFFFFF"/>
          </w:tcPr>
          <w:p>
            <w:pPr>
              <w:jc w:val="center"/>
            </w:pPr>
            <w:r>
              <w:rPr>
                <w:sz w:val="21"/>
              </w:rPr>
              <w:t>/</w:t>
            </w:r>
          </w:p>
        </w:tc>
      </w:tr>
      <w:tr>
        <w:tc>
          <w:tcPr>
            <w:tcW w:type="dxa" w:w="644"/>
            <w:tcBorders>
              <w:top w:val="none" w:color="000000" w:sz="4"/>
              <w:left w:val="single" w:color="000000" w:sz="4"/>
              <w:bottom w:val="single" w:color="000000" w:sz="4"/>
              <w:right w:val="single" w:color="000000" w:sz="4"/>
            </w:tcBorders>
            <w:shd w:fill="FFFFFF"/>
          </w:tcPr>
          <w:p>
            <w:pPr>
              <w:jc w:val="center"/>
            </w:pPr>
            <w:r>
              <w:rPr>
                <w:sz w:val="21"/>
              </w:rPr>
              <w:t>3</w:t>
            </w:r>
          </w:p>
        </w:tc>
        <w:tc>
          <w:tcPr>
            <w:tcW w:type="dxa" w:w="644"/>
            <w:tcBorders>
              <w:top w:val="none" w:color="000000" w:sz="4"/>
              <w:left w:val="none" w:color="000000" w:sz="4"/>
              <w:bottom w:val="single" w:color="000000" w:sz="4"/>
              <w:right w:val="single" w:color="000000" w:sz="4"/>
            </w:tcBorders>
            <w:shd w:fill="FFFFFF"/>
          </w:tcPr>
          <w:p>
            <w:pPr>
              <w:jc w:val="center"/>
            </w:pPr>
          </w:p>
        </w:tc>
        <w:tc>
          <w:tcPr>
            <w:tcW w:type="dxa" w:w="1040"/>
            <w:tcBorders>
              <w:top w:val="none" w:color="000000" w:sz="4"/>
              <w:left w:val="none" w:color="000000" w:sz="4"/>
              <w:bottom w:val="single" w:color="000000" w:sz="4"/>
              <w:right w:val="single" w:color="000000" w:sz="4"/>
            </w:tcBorders>
            <w:shd w:fill="FFFFFF"/>
          </w:tcPr>
          <w:p>
            <w:pPr>
              <w:jc w:val="center"/>
            </w:pPr>
            <w:r>
              <w:rPr>
                <w:sz w:val="21"/>
              </w:rPr>
              <w:t>其他电气机械设备</w:t>
            </w:r>
            <w:r>
              <w:rPr>
                <w:sz w:val="21"/>
              </w:rPr>
              <w:t>/A02062099</w:t>
            </w:r>
          </w:p>
        </w:tc>
        <w:tc>
          <w:tcPr>
            <w:tcW w:type="dxa" w:w="1435"/>
            <w:tcBorders>
              <w:top w:val="none" w:color="000000" w:sz="4"/>
              <w:left w:val="none" w:color="000000" w:sz="4"/>
              <w:bottom w:val="single" w:color="000000" w:sz="4"/>
              <w:right w:val="single" w:color="000000" w:sz="4"/>
            </w:tcBorders>
            <w:shd w:fill="FFFFFF"/>
          </w:tcPr>
          <w:p>
            <w:pPr>
              <w:jc w:val="center"/>
            </w:pPr>
            <w:r>
              <w:rPr>
                <w:b/>
                <w:sz w:val="24"/>
              </w:rPr>
              <w:t>移动机器人实训平台</w:t>
            </w:r>
          </w:p>
        </w:tc>
        <w:tc>
          <w:tcPr>
            <w:tcW w:type="dxa" w:w="571"/>
            <w:tcBorders>
              <w:top w:val="none" w:color="000000" w:sz="4"/>
              <w:left w:val="none" w:color="000000" w:sz="4"/>
              <w:bottom w:val="single" w:color="000000" w:sz="4"/>
              <w:right w:val="single" w:color="000000" w:sz="4"/>
            </w:tcBorders>
            <w:shd w:fill="FFFFFF"/>
          </w:tcPr>
          <w:p>
            <w:pPr>
              <w:jc w:val="center"/>
            </w:pPr>
            <w:r>
              <w:rPr>
                <w:sz w:val="21"/>
              </w:rPr>
              <w:t>套</w:t>
            </w:r>
          </w:p>
        </w:tc>
        <w:tc>
          <w:tcPr>
            <w:tcW w:type="dxa" w:w="644"/>
            <w:tcBorders>
              <w:top w:val="none" w:color="000000" w:sz="4"/>
              <w:left w:val="none" w:color="000000" w:sz="4"/>
              <w:bottom w:val="single" w:color="000000" w:sz="4"/>
              <w:right w:val="single" w:color="000000" w:sz="4"/>
            </w:tcBorders>
            <w:shd w:fill="FFFFFF"/>
          </w:tcPr>
          <w:p>
            <w:pPr>
              <w:jc w:val="center"/>
            </w:pPr>
            <w:r>
              <w:rPr>
                <w:sz w:val="21"/>
              </w:rPr>
              <w:t>2</w:t>
            </w:r>
          </w:p>
        </w:tc>
        <w:tc>
          <w:tcPr>
            <w:tcW w:type="dxa" w:w="849"/>
            <w:tcBorders>
              <w:top w:val="none" w:color="000000" w:sz="4"/>
              <w:left w:val="none" w:color="000000" w:sz="4"/>
              <w:bottom w:val="single" w:color="000000" w:sz="4"/>
              <w:right w:val="single" w:color="000000" w:sz="4"/>
            </w:tcBorders>
            <w:shd w:fill="FFFFFF"/>
          </w:tcPr>
          <w:p>
            <w:pPr>
              <w:jc w:val="center"/>
            </w:pPr>
            <w:r>
              <w:rPr>
                <w:sz w:val="21"/>
              </w:rPr>
              <w:t>3.9</w:t>
            </w:r>
          </w:p>
        </w:tc>
        <w:tc>
          <w:tcPr>
            <w:tcW w:type="dxa" w:w="1025"/>
            <w:tcBorders>
              <w:top w:val="none" w:color="000000" w:sz="4"/>
              <w:left w:val="none" w:color="000000" w:sz="4"/>
              <w:bottom w:val="single" w:color="000000" w:sz="4"/>
              <w:right w:val="single" w:color="000000" w:sz="4"/>
            </w:tcBorders>
            <w:shd w:fill="FFFFFF"/>
          </w:tcPr>
          <w:p>
            <w:pPr>
              <w:jc w:val="center"/>
            </w:pPr>
            <w:r>
              <w:rPr>
                <w:b/>
                <w:sz w:val="24"/>
              </w:rPr>
              <w:t>7.8</w:t>
            </w:r>
          </w:p>
        </w:tc>
        <w:tc>
          <w:tcPr>
            <w:tcW w:type="dxa" w:w="717"/>
            <w:tcBorders>
              <w:top w:val="none" w:color="000000" w:sz="4"/>
              <w:left w:val="none" w:color="000000" w:sz="4"/>
              <w:bottom w:val="single" w:color="000000" w:sz="4"/>
              <w:right w:val="single" w:color="000000" w:sz="4"/>
            </w:tcBorders>
            <w:shd w:fill="FFFFFF"/>
          </w:tcPr>
          <w:p>
            <w:pPr>
              <w:jc w:val="center"/>
            </w:pPr>
            <w:r>
              <w:rPr>
                <w:sz w:val="21"/>
              </w:rPr>
              <w:t>工业</w:t>
            </w:r>
          </w:p>
        </w:tc>
        <w:tc>
          <w:tcPr>
            <w:tcW w:type="dxa" w:w="717"/>
            <w:tcBorders>
              <w:top w:val="none" w:color="000000" w:sz="4"/>
              <w:left w:val="none" w:color="000000" w:sz="4"/>
              <w:bottom w:val="single" w:color="000000" w:sz="4"/>
              <w:right w:val="single" w:color="000000" w:sz="4"/>
            </w:tcBorders>
            <w:shd w:fill="FFFFFF"/>
          </w:tcPr>
          <w:p>
            <w:pPr>
              <w:jc w:val="center"/>
            </w:pPr>
            <w:r>
              <w:rPr>
                <w:sz w:val="21"/>
              </w:rPr>
              <w:t>/</w:t>
            </w:r>
          </w:p>
        </w:tc>
      </w:tr>
      <w:tr>
        <w:tc>
          <w:tcPr>
            <w:tcW w:type="dxa" w:w="644"/>
            <w:tcBorders>
              <w:top w:val="none" w:color="000000" w:sz="4"/>
              <w:left w:val="single" w:color="000000" w:sz="4"/>
              <w:bottom w:val="single" w:color="000000" w:sz="4"/>
              <w:right w:val="single" w:color="000000" w:sz="4"/>
            </w:tcBorders>
            <w:shd w:fill="FFFFFF"/>
          </w:tcPr>
          <w:p>
            <w:pPr>
              <w:jc w:val="center"/>
            </w:pPr>
            <w:r>
              <w:rPr>
                <w:sz w:val="21"/>
              </w:rPr>
              <w:t>4</w:t>
            </w:r>
          </w:p>
        </w:tc>
        <w:tc>
          <w:tcPr>
            <w:tcW w:type="dxa" w:w="644"/>
            <w:tcBorders>
              <w:top w:val="none" w:color="000000" w:sz="4"/>
              <w:left w:val="none" w:color="000000" w:sz="4"/>
              <w:bottom w:val="single" w:color="000000" w:sz="4"/>
              <w:right w:val="single" w:color="000000" w:sz="4"/>
            </w:tcBorders>
            <w:shd w:fill="FFFFFF"/>
          </w:tcPr>
          <w:p>
            <w:pPr>
              <w:jc w:val="center"/>
            </w:pPr>
          </w:p>
        </w:tc>
        <w:tc>
          <w:tcPr>
            <w:tcW w:type="dxa" w:w="1040"/>
            <w:tcBorders>
              <w:top w:val="none" w:color="000000" w:sz="4"/>
              <w:left w:val="none" w:color="000000" w:sz="4"/>
              <w:bottom w:val="single" w:color="000000" w:sz="4"/>
              <w:right w:val="single" w:color="000000" w:sz="4"/>
            </w:tcBorders>
            <w:shd w:fill="FFFFFF"/>
          </w:tcPr>
          <w:p>
            <w:pPr>
              <w:jc w:val="center"/>
            </w:pPr>
            <w:r>
              <w:rPr>
                <w:sz w:val="21"/>
              </w:rPr>
              <w:t>其他电气机械设备</w:t>
            </w:r>
            <w:r>
              <w:rPr>
                <w:sz w:val="21"/>
              </w:rPr>
              <w:t>/A02062099</w:t>
            </w:r>
          </w:p>
        </w:tc>
        <w:tc>
          <w:tcPr>
            <w:tcW w:type="dxa" w:w="1435"/>
            <w:tcBorders>
              <w:top w:val="none" w:color="000000" w:sz="4"/>
              <w:left w:val="none" w:color="000000" w:sz="4"/>
              <w:bottom w:val="single" w:color="000000" w:sz="4"/>
              <w:right w:val="single" w:color="000000" w:sz="4"/>
            </w:tcBorders>
            <w:shd w:fill="FFFFFF"/>
          </w:tcPr>
          <w:p>
            <w:pPr>
              <w:jc w:val="center"/>
            </w:pPr>
            <w:r>
              <w:rPr>
                <w:b/>
                <w:sz w:val="24"/>
              </w:rPr>
              <w:t>集成管理平台</w:t>
            </w:r>
          </w:p>
        </w:tc>
        <w:tc>
          <w:tcPr>
            <w:tcW w:type="dxa" w:w="571"/>
            <w:tcBorders>
              <w:top w:val="none" w:color="000000" w:sz="4"/>
              <w:left w:val="none" w:color="000000" w:sz="4"/>
              <w:bottom w:val="single" w:color="000000" w:sz="4"/>
              <w:right w:val="single" w:color="000000" w:sz="4"/>
            </w:tcBorders>
            <w:shd w:fill="FFFFFF"/>
          </w:tcPr>
          <w:p>
            <w:pPr>
              <w:jc w:val="center"/>
            </w:pPr>
            <w:r>
              <w:rPr>
                <w:sz w:val="21"/>
              </w:rPr>
              <w:t>套</w:t>
            </w:r>
          </w:p>
        </w:tc>
        <w:tc>
          <w:tcPr>
            <w:tcW w:type="dxa" w:w="644"/>
            <w:tcBorders>
              <w:top w:val="none" w:color="000000" w:sz="4"/>
              <w:left w:val="none" w:color="000000" w:sz="4"/>
              <w:bottom w:val="single" w:color="000000" w:sz="4"/>
              <w:right w:val="single" w:color="000000" w:sz="4"/>
            </w:tcBorders>
            <w:shd w:fill="FFFFFF"/>
          </w:tcPr>
          <w:p>
            <w:pPr>
              <w:jc w:val="center"/>
            </w:pPr>
            <w:r>
              <w:rPr>
                <w:sz w:val="21"/>
              </w:rPr>
              <w:t>1</w:t>
            </w:r>
          </w:p>
        </w:tc>
        <w:tc>
          <w:tcPr>
            <w:tcW w:type="dxa" w:w="849"/>
            <w:tcBorders>
              <w:top w:val="none" w:color="000000" w:sz="4"/>
              <w:left w:val="none" w:color="000000" w:sz="4"/>
              <w:bottom w:val="single" w:color="000000" w:sz="4"/>
              <w:right w:val="single" w:color="000000" w:sz="4"/>
            </w:tcBorders>
            <w:shd w:fill="FFFFFF"/>
          </w:tcPr>
          <w:p>
            <w:pPr>
              <w:jc w:val="center"/>
            </w:pPr>
            <w:r>
              <w:rPr>
                <w:sz w:val="21"/>
              </w:rPr>
              <w:t>16.7</w:t>
            </w:r>
          </w:p>
        </w:tc>
        <w:tc>
          <w:tcPr>
            <w:tcW w:type="dxa" w:w="1025"/>
            <w:tcBorders>
              <w:top w:val="none" w:color="000000" w:sz="4"/>
              <w:left w:val="none" w:color="000000" w:sz="4"/>
              <w:bottom w:val="single" w:color="000000" w:sz="4"/>
              <w:right w:val="single" w:color="000000" w:sz="4"/>
            </w:tcBorders>
            <w:shd w:fill="FFFFFF"/>
          </w:tcPr>
          <w:p>
            <w:pPr>
              <w:jc w:val="center"/>
            </w:pPr>
            <w:r>
              <w:rPr>
                <w:b/>
                <w:sz w:val="24"/>
              </w:rPr>
              <w:t>16.7</w:t>
            </w:r>
          </w:p>
        </w:tc>
        <w:tc>
          <w:tcPr>
            <w:tcW w:type="dxa" w:w="717"/>
            <w:tcBorders>
              <w:top w:val="none" w:color="000000" w:sz="4"/>
              <w:left w:val="none" w:color="000000" w:sz="4"/>
              <w:bottom w:val="single" w:color="000000" w:sz="4"/>
              <w:right w:val="single" w:color="000000" w:sz="4"/>
            </w:tcBorders>
            <w:shd w:fill="FFFFFF"/>
          </w:tcPr>
          <w:p>
            <w:pPr>
              <w:jc w:val="center"/>
            </w:pPr>
            <w:r>
              <w:rPr>
                <w:sz w:val="21"/>
              </w:rPr>
              <w:t>工业</w:t>
            </w:r>
          </w:p>
        </w:tc>
        <w:tc>
          <w:tcPr>
            <w:tcW w:type="dxa" w:w="717"/>
            <w:tcBorders>
              <w:top w:val="none" w:color="000000" w:sz="4"/>
              <w:left w:val="none" w:color="000000" w:sz="4"/>
              <w:bottom w:val="single" w:color="000000" w:sz="4"/>
              <w:right w:val="single" w:color="000000" w:sz="4"/>
            </w:tcBorders>
            <w:shd w:fill="FFFFFF"/>
          </w:tcPr>
          <w:p>
            <w:pPr>
              <w:jc w:val="center"/>
            </w:pPr>
            <w:r>
              <w:rPr>
                <w:sz w:val="21"/>
              </w:rPr>
              <w:t>/</w:t>
            </w:r>
          </w:p>
        </w:tc>
      </w:tr>
    </w:tbl>
    <w:p/>
    <w:p/>
    <w:p>
      <w:r>
        <w:rPr>
          <w:b/>
          <w:color w:val="000000"/>
          <w:sz w:val="28"/>
        </w:rPr>
        <w:t>（二）采购项目技术参数</w:t>
      </w:r>
    </w:p>
    <w:tbl>
      <w:tblPr>
        <w:tblW w:w="0" w:type="auto"/>
        <w:tblInd w:type="dxa" w:w="105"/>
        <w:tblBorders>
          <w:top w:val="none" w:color="000000" w:sz="4"/>
          <w:left w:val="none" w:color="000000" w:sz="4"/>
          <w:bottom w:val="none" w:color="000000" w:sz="4"/>
          <w:right w:val="none" w:color="000000" w:sz="4"/>
          <w:insideH w:val="none"/>
          <w:insideV w:val="none"/>
        </w:tblBorders>
      </w:tblPr>
      <w:tblGrid>
        <w:gridCol w:w="418"/>
        <w:gridCol w:w="893"/>
        <w:gridCol w:w="4285"/>
        <w:gridCol w:w="488"/>
        <w:gridCol w:w="530"/>
        <w:gridCol w:w="628"/>
        <w:gridCol w:w="642"/>
        <w:gridCol w:w="432"/>
      </w:tblGrid>
      <w:tr>
        <w:tc>
          <w:tcPr>
            <w:tcW w:type="dxa" w:w="418"/>
            <w:tcBorders>
              <w:top w:val="single" w:color="000000" w:sz="4"/>
              <w:left w:val="single" w:color="000000" w:sz="4"/>
              <w:bottom w:val="single" w:color="000000" w:sz="4"/>
              <w:right w:val="single" w:color="000000" w:sz="4"/>
            </w:tcBorders>
          </w:tcPr>
          <w:p>
            <w:pPr>
              <w:jc w:val="left"/>
            </w:pPr>
            <w:r>
              <w:rPr>
                <w:sz w:val="21"/>
              </w:rPr>
              <w:t>序号</w:t>
            </w:r>
          </w:p>
        </w:tc>
        <w:tc>
          <w:tcPr>
            <w:tcW w:type="dxa" w:w="893"/>
            <w:tcBorders>
              <w:top w:val="single" w:color="000000" w:sz="4"/>
              <w:left w:val="none" w:color="000000" w:sz="4"/>
              <w:bottom w:val="single" w:color="000000" w:sz="4"/>
              <w:right w:val="single" w:color="000000" w:sz="4"/>
            </w:tcBorders>
          </w:tcPr>
          <w:p>
            <w:pPr>
              <w:jc w:val="left"/>
            </w:pPr>
            <w:r>
              <w:rPr>
                <w:sz w:val="21"/>
              </w:rPr>
              <w:t>货物名称</w:t>
            </w:r>
          </w:p>
        </w:tc>
        <w:tc>
          <w:tcPr>
            <w:tcW w:type="dxa" w:w="4285"/>
            <w:tcBorders>
              <w:top w:val="single" w:color="000000" w:sz="4"/>
              <w:left w:val="none" w:color="000000" w:sz="4"/>
              <w:bottom w:val="single" w:color="000000" w:sz="4"/>
              <w:right w:val="single" w:color="000000" w:sz="4"/>
            </w:tcBorders>
          </w:tcPr>
          <w:p>
            <w:pPr>
              <w:jc w:val="left"/>
            </w:pPr>
            <w:r>
              <w:rPr>
                <w:sz w:val="21"/>
              </w:rPr>
              <w:t>规格/</w:t>
            </w:r>
          </w:p>
          <w:p>
            <w:pPr>
              <w:jc w:val="left"/>
            </w:pPr>
            <w:r>
              <w:rPr>
                <w:sz w:val="21"/>
              </w:rPr>
              <w:t>技术参数</w:t>
            </w:r>
          </w:p>
        </w:tc>
        <w:tc>
          <w:tcPr>
            <w:tcW w:type="dxa" w:w="488"/>
            <w:tcBorders>
              <w:top w:val="single" w:color="000000" w:sz="4"/>
              <w:left w:val="none" w:color="000000" w:sz="4"/>
              <w:bottom w:val="single" w:color="000000" w:sz="4"/>
              <w:right w:val="single" w:color="000000" w:sz="4"/>
            </w:tcBorders>
          </w:tcPr>
          <w:p>
            <w:pPr>
              <w:jc w:val="left"/>
            </w:pPr>
            <w:r>
              <w:rPr>
                <w:sz w:val="21"/>
              </w:rPr>
              <w:t>单位</w:t>
            </w:r>
          </w:p>
        </w:tc>
        <w:tc>
          <w:tcPr>
            <w:tcW w:type="dxa" w:w="530"/>
            <w:tcBorders>
              <w:top w:val="single" w:color="000000" w:sz="4"/>
              <w:left w:val="none" w:color="000000" w:sz="4"/>
              <w:bottom w:val="single" w:color="000000" w:sz="4"/>
              <w:right w:val="single" w:color="000000" w:sz="4"/>
            </w:tcBorders>
          </w:tcPr>
          <w:p>
            <w:pPr>
              <w:jc w:val="left"/>
            </w:pPr>
            <w:r>
              <w:rPr>
                <w:sz w:val="21"/>
              </w:rPr>
              <w:t>数量</w:t>
            </w:r>
          </w:p>
        </w:tc>
        <w:tc>
          <w:tcPr>
            <w:tcW w:type="dxa" w:w="628"/>
            <w:tcBorders>
              <w:top w:val="single" w:color="000000" w:sz="4"/>
              <w:left w:val="none" w:color="000000" w:sz="4"/>
              <w:bottom w:val="single" w:color="000000" w:sz="4"/>
              <w:right w:val="single" w:color="000000" w:sz="4"/>
            </w:tcBorders>
          </w:tcPr>
          <w:p>
            <w:pPr>
              <w:jc w:val="left"/>
            </w:pPr>
            <w:r>
              <w:rPr>
                <w:sz w:val="21"/>
              </w:rPr>
              <w:t>单价限价</w:t>
            </w:r>
            <w:r>
              <w:rPr>
                <w:sz w:val="21"/>
              </w:rPr>
              <w:t>(</w:t>
            </w:r>
            <w:r>
              <w:rPr>
                <w:sz w:val="21"/>
              </w:rPr>
              <w:t>万元)</w:t>
            </w:r>
          </w:p>
        </w:tc>
        <w:tc>
          <w:tcPr>
            <w:tcW w:type="dxa" w:w="642"/>
            <w:tcBorders>
              <w:top w:val="single" w:color="000000" w:sz="4"/>
              <w:left w:val="none" w:color="000000" w:sz="4"/>
              <w:bottom w:val="single" w:color="000000" w:sz="4"/>
              <w:right w:val="single" w:color="000000" w:sz="4"/>
            </w:tcBorders>
          </w:tcPr>
          <w:p>
            <w:pPr>
              <w:jc w:val="left"/>
            </w:pPr>
            <w:r>
              <w:rPr>
                <w:sz w:val="21"/>
              </w:rPr>
              <w:t>总价</w:t>
            </w:r>
          </w:p>
          <w:p>
            <w:pPr>
              <w:jc w:val="left"/>
            </w:pPr>
            <w:r>
              <w:rPr>
                <w:sz w:val="21"/>
              </w:rPr>
              <w:t>(</w:t>
            </w:r>
            <w:r>
              <w:rPr>
                <w:sz w:val="21"/>
              </w:rPr>
              <w:t>万元)</w:t>
            </w:r>
          </w:p>
        </w:tc>
        <w:tc>
          <w:tcPr>
            <w:tcW w:type="dxa" w:w="432"/>
            <w:tcBorders>
              <w:top w:val="single" w:color="000000" w:sz="4"/>
              <w:left w:val="none" w:color="000000" w:sz="4"/>
              <w:bottom w:val="single" w:color="000000" w:sz="4"/>
              <w:right w:val="single" w:color="000000" w:sz="4"/>
            </w:tcBorders>
          </w:tcPr>
          <w:p>
            <w:pPr>
              <w:jc w:val="left"/>
            </w:pPr>
            <w:r>
              <w:rPr>
                <w:sz w:val="21"/>
              </w:rPr>
              <w:t>备注</w:t>
            </w:r>
          </w:p>
        </w:tc>
      </w:tr>
      <w:tr>
        <w:tc>
          <w:tcPr>
            <w:tcW w:type="dxa" w:w="418"/>
            <w:tcBorders>
              <w:top w:val="none" w:color="000000" w:sz="4"/>
              <w:left w:val="single" w:color="000000" w:sz="4"/>
              <w:bottom w:val="single" w:color="000000" w:sz="4"/>
              <w:right w:val="single" w:color="000000" w:sz="4"/>
            </w:tcBorders>
          </w:tcPr>
          <w:p>
            <w:pPr>
              <w:jc w:val="both"/>
            </w:pPr>
            <w:r>
              <w:rPr>
                <w:sz w:val="21"/>
              </w:rPr>
              <w:t>1</w:t>
            </w:r>
          </w:p>
        </w:tc>
        <w:tc>
          <w:tcPr>
            <w:tcW w:type="dxa" w:w="893"/>
            <w:tcBorders>
              <w:top w:val="none" w:color="000000" w:sz="4"/>
              <w:left w:val="none" w:color="000000" w:sz="4"/>
              <w:bottom w:val="single" w:color="000000" w:sz="4"/>
              <w:right w:val="single" w:color="000000" w:sz="4"/>
            </w:tcBorders>
          </w:tcPr>
          <w:p>
            <w:pPr>
              <w:jc w:val="center"/>
            </w:pPr>
            <w:r>
              <w:rPr>
                <w:b/>
                <w:sz w:val="21"/>
              </w:rPr>
              <w:t>人工智能训练师实训平台</w:t>
            </w:r>
          </w:p>
        </w:tc>
        <w:tc>
          <w:tcPr>
            <w:tcW w:type="dxa" w:w="4285"/>
            <w:tcBorders>
              <w:top w:val="none" w:color="000000" w:sz="4"/>
              <w:left w:val="none" w:color="000000" w:sz="4"/>
              <w:bottom w:val="single" w:color="000000" w:sz="4"/>
              <w:right w:val="single" w:color="000000" w:sz="4"/>
            </w:tcBorders>
          </w:tcPr>
          <w:p>
            <w:pPr>
              <w:jc w:val="both"/>
            </w:pPr>
            <w:r>
              <w:rPr>
                <w:sz w:val="21"/>
              </w:rPr>
              <w:t>人工智能训练师实训平台：</w:t>
            </w:r>
          </w:p>
          <w:p>
            <w:pPr>
              <w:jc w:val="both"/>
            </w:pPr>
            <w:r>
              <w:rPr>
                <w:sz w:val="21"/>
              </w:rPr>
              <w:t>一、整体要求：</w:t>
            </w:r>
          </w:p>
          <w:p>
            <w:pPr>
              <w:jc w:val="both"/>
            </w:pPr>
            <w:r>
              <w:rPr>
                <w:sz w:val="21"/>
              </w:rPr>
              <w:t>1)</w:t>
            </w:r>
            <w:r>
              <w:rPr>
                <w:sz w:val="21"/>
              </w:rPr>
              <w:t>人工智能训练师实训平台为人工智能核心课程提供实验环境基础设施。</w:t>
            </w:r>
            <w:r>
              <w:rPr>
                <w:sz w:val="21"/>
              </w:rPr>
              <w:t>需按要求设置不锈钢资产铭牌（铭牌大小：宽7cm、高4.3cm，不锈钢材质，内容定制）。</w:t>
            </w:r>
          </w:p>
          <w:p>
            <w:pPr>
              <w:jc w:val="both"/>
            </w:pPr>
            <w:r>
              <w:rPr>
                <w:sz w:val="21"/>
              </w:rPr>
              <w:t>2)</w:t>
            </w:r>
            <w:r>
              <w:rPr>
                <w:sz w:val="21"/>
              </w:rPr>
              <w:t>人工智能教学实验能够支撑人工智能专业核心课程的教学与实验，可实现人工智能课程在线教学和实验。</w:t>
            </w:r>
          </w:p>
          <w:p>
            <w:pPr>
              <w:jc w:val="both"/>
            </w:pPr>
            <w:r>
              <w:rPr>
                <w:sz w:val="21"/>
              </w:rPr>
              <w:t>3)</w:t>
            </w:r>
            <w:r>
              <w:rPr>
                <w:sz w:val="21"/>
              </w:rPr>
              <w:t>具备理实一体化教学过程，将理论学习、动手实践结合在一起；</w:t>
            </w:r>
          </w:p>
          <w:p>
            <w:pPr>
              <w:jc w:val="both"/>
            </w:pPr>
            <w:r>
              <w:rPr>
                <w:sz w:val="21"/>
              </w:rPr>
              <w:t>4)</w:t>
            </w:r>
            <w:r>
              <w:rPr>
                <w:sz w:val="21"/>
              </w:rPr>
              <w:t>支持常见的项目案例实验环境，从单一的知识应用到综合技能应用实训；</w:t>
            </w:r>
          </w:p>
          <w:p>
            <w:pPr>
              <w:jc w:val="both"/>
            </w:pPr>
            <w:r>
              <w:rPr>
                <w:sz w:val="21"/>
              </w:rPr>
              <w:t>5)</w:t>
            </w:r>
            <w:r>
              <w:rPr>
                <w:sz w:val="21"/>
              </w:rPr>
              <w:t>具备项目化实训过程，每个实训项目分任务式开展，任务之间可独立开展；</w:t>
            </w:r>
          </w:p>
          <w:p>
            <w:pPr>
              <w:jc w:val="both"/>
            </w:pPr>
            <w:r>
              <w:rPr>
                <w:sz w:val="21"/>
              </w:rPr>
              <w:t>6)</w:t>
            </w:r>
            <w:r>
              <w:rPr>
                <w:sz w:val="21"/>
              </w:rPr>
              <w:t>具备对学生项目过程完全情况的查看功能，方便教学人员查看处理，有效的提高教学质量；</w:t>
            </w:r>
          </w:p>
          <w:p>
            <w:pPr>
              <w:jc w:val="left"/>
            </w:pPr>
            <w:r>
              <w:rPr>
                <w:sz w:val="21"/>
              </w:rPr>
              <w:t>7</w:t>
            </w:r>
            <w:r>
              <w:rPr>
                <w:sz w:val="21"/>
              </w:rPr>
              <w:t>） 采用目前流行的B/S架构部署，提供统一的数据保存和升级能力；</w:t>
            </w:r>
          </w:p>
          <w:p>
            <w:pPr>
              <w:jc w:val="both"/>
            </w:pPr>
            <w:r>
              <w:rPr>
                <w:sz w:val="21"/>
              </w:rPr>
              <w:t>8</w:t>
            </w:r>
            <w:r>
              <w:rPr>
                <w:sz w:val="21"/>
              </w:rPr>
              <w:t>） 平台性能配置指标：6330 2G, 28C/56T, 11.2GT/s, 42M 缓存，双处理器； 64GB RDIMM, 3200MT/s RECC  8条；480GB SSD 2个；4TB SAS 2个;RIAD卡 1个；</w:t>
            </w:r>
          </w:p>
          <w:p>
            <w:pPr>
              <w:jc w:val="both"/>
            </w:pPr>
            <w:r>
              <w:rPr>
                <w:sz w:val="21"/>
              </w:rPr>
              <w:t>二、教学管理功能要求：</w:t>
            </w:r>
          </w:p>
          <w:p>
            <w:pPr>
              <w:jc w:val="both"/>
            </w:pPr>
            <w:r>
              <w:rPr>
                <w:sz w:val="21"/>
              </w:rPr>
              <w:t>1</w:t>
            </w:r>
            <w:r>
              <w:rPr>
                <w:sz w:val="21"/>
              </w:rPr>
              <w:t>） 教学平台须包含学校管理员端、教师端、学生端。</w:t>
            </w:r>
          </w:p>
          <w:p>
            <w:pPr>
              <w:jc w:val="both"/>
            </w:pPr>
            <w:r>
              <w:rPr>
                <w:sz w:val="21"/>
              </w:rPr>
              <w:t>2</w:t>
            </w:r>
            <w:r>
              <w:rPr>
                <w:sz w:val="21"/>
              </w:rPr>
              <w:t>） 支持通过统一门户进入学校管理员管理模块，在管理员模块可以进行课程管理、班级管理、资源管理等操作。</w:t>
            </w:r>
          </w:p>
          <w:p>
            <w:pPr>
              <w:jc w:val="both"/>
            </w:pPr>
            <w:r>
              <w:rPr>
                <w:sz w:val="21"/>
              </w:rPr>
              <w:t>3</w:t>
            </w:r>
            <w:r>
              <w:rPr>
                <w:sz w:val="21"/>
              </w:rPr>
              <w:t>） 支持学校管理员通过课程管理，新增课程，课程信息至少包含课程名称、课时数、课程方向、课程等级、课程资源等；</w:t>
            </w:r>
          </w:p>
          <w:p>
            <w:pPr>
              <w:jc w:val="both"/>
            </w:pPr>
            <w:r>
              <w:rPr>
                <w:sz w:val="21"/>
              </w:rPr>
              <w:t>4</w:t>
            </w:r>
            <w:r>
              <w:rPr>
                <w:sz w:val="21"/>
              </w:rPr>
              <w:t>） 支持学校管理员通过教师管理对教师账号进行增删改查；</w:t>
            </w:r>
          </w:p>
          <w:p>
            <w:pPr>
              <w:jc w:val="both"/>
            </w:pPr>
            <w:r>
              <w:rPr>
                <w:sz w:val="21"/>
              </w:rPr>
              <w:t>5</w:t>
            </w:r>
            <w:r>
              <w:rPr>
                <w:sz w:val="21"/>
              </w:rPr>
              <w:t>） 支持学校管理员通过班级管理对班级进行增删改查；</w:t>
            </w:r>
          </w:p>
          <w:p>
            <w:pPr>
              <w:jc w:val="both"/>
            </w:pPr>
            <w:r>
              <w:rPr>
                <w:sz w:val="21"/>
              </w:rPr>
              <w:t>6</w:t>
            </w:r>
            <w:r>
              <w:rPr>
                <w:sz w:val="21"/>
              </w:rPr>
              <w:t>） 支持学校管理员通过学生管理对学生账号进行增删改查；</w:t>
            </w:r>
          </w:p>
          <w:p>
            <w:pPr>
              <w:jc w:val="both"/>
            </w:pPr>
            <w:r>
              <w:rPr>
                <w:sz w:val="21"/>
              </w:rPr>
              <w:t>7</w:t>
            </w:r>
            <w:r>
              <w:rPr>
                <w:sz w:val="21"/>
              </w:rPr>
              <w:t>） 支持学校管理员通过资源管理，查看预览教学资源；</w:t>
            </w:r>
          </w:p>
          <w:p>
            <w:pPr>
              <w:jc w:val="both"/>
            </w:pPr>
            <w:r>
              <w:rPr>
                <w:sz w:val="21"/>
              </w:rPr>
              <w:t>8</w:t>
            </w:r>
            <w:r>
              <w:rPr>
                <w:sz w:val="21"/>
              </w:rPr>
              <w:t>） 支持教师端向学生下发课程章节学习任务，下发任务信息至少包括课程名称、课程资源、资源章节、指定班级或学生等；</w:t>
            </w:r>
          </w:p>
          <w:p>
            <w:pPr>
              <w:jc w:val="both"/>
            </w:pPr>
            <w:r>
              <w:rPr>
                <w:sz w:val="21"/>
              </w:rPr>
              <w:t>9</w:t>
            </w:r>
            <w:r>
              <w:rPr>
                <w:sz w:val="21"/>
              </w:rPr>
              <w:t>） 支持教师通过学生任务管理，查看学生的完成情况，并对已完成的学生任务进行评分；</w:t>
            </w:r>
          </w:p>
          <w:p>
            <w:pPr>
              <w:jc w:val="both"/>
            </w:pPr>
            <w:r>
              <w:rPr>
                <w:sz w:val="21"/>
              </w:rPr>
              <w:t>10</w:t>
            </w:r>
            <w:r>
              <w:rPr>
                <w:sz w:val="21"/>
              </w:rPr>
              <w:t>）支持教师通过资源管理，上传所需的教学资源，教学资源至少包括手册、图文、数据集、软件、代码等相关资料；</w:t>
            </w:r>
          </w:p>
          <w:p>
            <w:pPr>
              <w:jc w:val="both"/>
            </w:pPr>
            <w:r>
              <w:rPr>
                <w:sz w:val="21"/>
              </w:rPr>
              <w:t>11</w:t>
            </w:r>
            <w:r>
              <w:rPr>
                <w:sz w:val="21"/>
              </w:rPr>
              <w:t>）学生须能够根据教师下发的课程进行课前预习，能够对教师所下发的课程资源实现下载与浏览；</w:t>
            </w:r>
          </w:p>
          <w:p>
            <w:pPr>
              <w:jc w:val="both"/>
            </w:pPr>
            <w:r>
              <w:rPr>
                <w:sz w:val="21"/>
              </w:rPr>
              <w:t>12</w:t>
            </w:r>
            <w:r>
              <w:rPr>
                <w:sz w:val="21"/>
              </w:rPr>
              <w:t>）学生须能够在课程学习页面跳转至实训平台环境，根据指导下载教学资源，完成实操开发操作；</w:t>
            </w:r>
          </w:p>
          <w:p>
            <w:pPr>
              <w:jc w:val="both"/>
            </w:pPr>
            <w:r>
              <w:rPr>
                <w:sz w:val="21"/>
              </w:rPr>
              <w:t>13</w:t>
            </w:r>
            <w:r>
              <w:rPr>
                <w:sz w:val="21"/>
              </w:rPr>
              <w:t>）支持教师对各项学生任务整个教学活动的监控，包括任务耗时、剩余时长、完成进度、完成情况；</w:t>
            </w:r>
          </w:p>
          <w:p>
            <w:pPr>
              <w:jc w:val="both"/>
            </w:pPr>
            <w:r>
              <w:rPr>
                <w:sz w:val="21"/>
              </w:rPr>
              <w:t>14</w:t>
            </w:r>
            <w:r>
              <w:rPr>
                <w:sz w:val="21"/>
              </w:rPr>
              <w:t>）平台须支持以卡片的形式显示所有资源的名称和描述，支持新增、删除、编辑和查看资源；</w:t>
            </w:r>
          </w:p>
          <w:p>
            <w:pPr>
              <w:jc w:val="both"/>
            </w:pPr>
            <w:r>
              <w:rPr>
                <w:sz w:val="21"/>
              </w:rPr>
              <w:t>15</w:t>
            </w:r>
            <w:r>
              <w:rPr>
                <w:sz w:val="21"/>
              </w:rPr>
              <w:t>）平台支持课件管理支持课件查询、创建、批量下载和批量删除，支持word、ppt、pdf、markdown等多种文件格式的上传;</w:t>
            </w:r>
          </w:p>
          <w:p>
            <w:pPr>
              <w:jc w:val="both"/>
            </w:pPr>
            <w:r>
              <w:rPr>
                <w:sz w:val="21"/>
              </w:rPr>
              <w:t>16)</w:t>
            </w:r>
            <w:r>
              <w:rPr>
                <w:sz w:val="21"/>
              </w:rPr>
              <w:t>支持支持word、ppt、pdf、markdown等多种文件格式课件操作时在线预览。</w:t>
            </w:r>
          </w:p>
          <w:p>
            <w:pPr>
              <w:jc w:val="both"/>
            </w:pPr>
            <w:r>
              <w:rPr>
                <w:sz w:val="21"/>
              </w:rPr>
              <w:t>三、考试认证功能要求：</w:t>
            </w:r>
          </w:p>
          <w:p>
            <w:pPr>
              <w:jc w:val="both"/>
            </w:pPr>
            <w:r>
              <w:rPr>
                <w:sz w:val="21"/>
              </w:rPr>
              <w:t>1.</w:t>
            </w:r>
            <w:r>
              <w:rPr>
                <w:sz w:val="21"/>
              </w:rPr>
              <w:t>支持考试功能，支持单选题、多选题、判断题等客观题自动评分功能；</w:t>
            </w:r>
          </w:p>
          <w:p>
            <w:pPr>
              <w:jc w:val="both"/>
            </w:pPr>
            <w:r>
              <w:rPr>
                <w:sz w:val="21"/>
              </w:rPr>
              <w:t>2.</w:t>
            </w:r>
            <w:r>
              <w:rPr>
                <w:sz w:val="21"/>
              </w:rPr>
              <w:t>平台支持管理员导入和维护考试题库；</w:t>
            </w:r>
          </w:p>
          <w:p>
            <w:pPr>
              <w:jc w:val="both"/>
            </w:pPr>
            <w:r>
              <w:rPr>
                <w:sz w:val="21"/>
              </w:rPr>
              <w:t>3.</w:t>
            </w:r>
            <w:r>
              <w:rPr>
                <w:sz w:val="21"/>
              </w:rPr>
              <w:t>支持考试过程监控学生答题耗时和统计交卷时间等情况；</w:t>
            </w:r>
          </w:p>
          <w:p>
            <w:pPr>
              <w:jc w:val="both"/>
            </w:pPr>
            <w:r>
              <w:rPr>
                <w:sz w:val="21"/>
              </w:rPr>
              <w:t>4.</w:t>
            </w:r>
            <w:r>
              <w:rPr>
                <w:sz w:val="21"/>
              </w:rPr>
              <w:t>支持考试认证过程实操任务部分支持学生上传答题资料，支持上传图片、代码文本等答案压缩包；</w:t>
            </w:r>
          </w:p>
          <w:p>
            <w:pPr>
              <w:jc w:val="both"/>
            </w:pPr>
            <w:r>
              <w:rPr>
                <w:sz w:val="21"/>
              </w:rPr>
              <w:t>5.</w:t>
            </w:r>
            <w:r>
              <w:rPr>
                <w:sz w:val="21"/>
              </w:rPr>
              <w:t>支持教师端可查看学生提交答题资料、下载答案压缩包根据评分标准进行考试评分；</w:t>
            </w:r>
          </w:p>
          <w:p>
            <w:pPr>
              <w:jc w:val="both"/>
            </w:pPr>
            <w:r>
              <w:rPr>
                <w:sz w:val="21"/>
              </w:rPr>
              <w:t>6.</w:t>
            </w:r>
            <w:r>
              <w:rPr>
                <w:sz w:val="21"/>
              </w:rPr>
              <w:t>考试模式页面，支持答题区域与答题卡区域，答题卡区可实时统计未作答、已作答、标记及当前题，自由的上下题切换，已作答保存作答结果；</w:t>
            </w:r>
          </w:p>
          <w:p>
            <w:pPr>
              <w:jc w:val="both"/>
            </w:pPr>
            <w:r>
              <w:rPr>
                <w:sz w:val="21"/>
              </w:rPr>
              <w:t>7.</w:t>
            </w:r>
            <w:r>
              <w:rPr>
                <w:sz w:val="21"/>
              </w:rPr>
              <w:t>支持学生考试撰写实验任务报告，报告可多次编写保存，最后提交。支持图片、文字及代码等富文本的输入；</w:t>
            </w:r>
          </w:p>
          <w:p>
            <w:pPr>
              <w:jc w:val="both"/>
            </w:pPr>
            <w:r>
              <w:rPr>
                <w:sz w:val="21"/>
              </w:rPr>
              <w:t>四、实训环境功能要求：</w:t>
            </w:r>
          </w:p>
          <w:p>
            <w:pPr>
              <w:jc w:val="both"/>
            </w:pPr>
            <w:r>
              <w:rPr>
                <w:sz w:val="21"/>
              </w:rPr>
              <w:t>1.</w:t>
            </w:r>
            <w:r>
              <w:rPr>
                <w:sz w:val="21"/>
              </w:rPr>
              <w:t>所提供的实验环境须基于B/S架构，教师与学生能够在浏览器上直接进行交互式编程实验；</w:t>
            </w:r>
          </w:p>
          <w:p>
            <w:pPr>
              <w:jc w:val="both"/>
            </w:pPr>
            <w:r>
              <w:rPr>
                <w:sz w:val="21"/>
              </w:rPr>
              <w:t>2.</w:t>
            </w:r>
            <w:r>
              <w:rPr>
                <w:sz w:val="21"/>
              </w:rPr>
              <w:t>所提供的实验环境须基于Docker容器化技术，启动时间≤20秒，方便实验的快速开展；</w:t>
            </w:r>
          </w:p>
          <w:p>
            <w:pPr>
              <w:jc w:val="both"/>
            </w:pPr>
            <w:r>
              <w:rPr>
                <w:sz w:val="21"/>
              </w:rPr>
              <w:t>3.</w:t>
            </w:r>
            <w:r>
              <w:rPr>
                <w:sz w:val="21"/>
              </w:rPr>
              <w:t>要求软件可为用户提供可进入Jupyter Notebook进行代码编写，也可进入终端界面进行操作，实际操作方法与linux系统操作并无区别，用户可根据实际需求自主安装并配置实验所需环境依赖；</w:t>
            </w:r>
          </w:p>
          <w:p>
            <w:pPr>
              <w:jc w:val="both"/>
            </w:pPr>
            <w:r>
              <w:rPr>
                <w:sz w:val="21"/>
              </w:rPr>
              <w:t>4.</w:t>
            </w:r>
            <w:r>
              <w:rPr>
                <w:sz w:val="21"/>
              </w:rPr>
              <w:t>需提供多种应用开发调试入口，如Jupyter Notebook入口、终端入口、文本编辑入口、云桌面入口等；</w:t>
            </w:r>
          </w:p>
          <w:p>
            <w:pPr>
              <w:jc w:val="both"/>
            </w:pPr>
            <w:r>
              <w:rPr>
                <w:sz w:val="21"/>
              </w:rPr>
              <w:t>5.</w:t>
            </w:r>
            <w:r>
              <w:rPr>
                <w:sz w:val="21"/>
              </w:rPr>
              <w:t>须提供代码训练功能，教师可通过自由设置，将代码模块留空，交予学生进行编程训练，并根据运行结果提示学生判断代码编写是否正确；</w:t>
            </w:r>
          </w:p>
          <w:p>
            <w:pPr>
              <w:jc w:val="both"/>
            </w:pPr>
            <w:r>
              <w:rPr>
                <w:sz w:val="21"/>
              </w:rPr>
              <w:t>6.</w:t>
            </w:r>
            <w:r>
              <w:rPr>
                <w:sz w:val="21"/>
              </w:rPr>
              <w:t>须提供预置的模型训练脚本，可在预置脚本基础之上，针对提供的数据集，修改训练参数，进行微调训练；</w:t>
            </w:r>
          </w:p>
          <w:p>
            <w:pPr>
              <w:jc w:val="both"/>
            </w:pPr>
            <w:r>
              <w:rPr>
                <w:sz w:val="21"/>
              </w:rPr>
              <w:t>7.</w:t>
            </w:r>
            <w:r>
              <w:rPr>
                <w:sz w:val="21"/>
              </w:rPr>
              <w:t>所提供实验环境文本编辑器须支持多种编辑器风格，包括但不限于：vim、emacs、sublime；</w:t>
            </w:r>
          </w:p>
          <w:p>
            <w:pPr>
              <w:jc w:val="both"/>
            </w:pPr>
            <w:r>
              <w:rPr>
                <w:sz w:val="21"/>
              </w:rPr>
              <w:t>8.</w:t>
            </w:r>
            <w:r>
              <w:rPr>
                <w:sz w:val="21"/>
              </w:rPr>
              <w:t>所提供实验环境需支持多种训练方式，可在Notebook内实现代码运行，也可使用.py文件在终端界面进行运行，平台均将提供最大兼容性支持；</w:t>
            </w:r>
          </w:p>
          <w:p>
            <w:pPr>
              <w:jc w:val="both"/>
            </w:pPr>
            <w:r>
              <w:rPr>
                <w:sz w:val="21"/>
              </w:rPr>
              <w:t>9.</w:t>
            </w:r>
            <w:r>
              <w:rPr>
                <w:sz w:val="21"/>
              </w:rPr>
              <w:t>所提供的实验环境支持云桌面环境，用户可操作桌面环境打开浏览器等工具，验证模型部署效果。且云桌面环境与Notebook环境的数据是相通的；</w:t>
            </w:r>
          </w:p>
          <w:p>
            <w:pPr>
              <w:jc w:val="both"/>
            </w:pPr>
            <w:r>
              <w:rPr>
                <w:sz w:val="21"/>
              </w:rPr>
              <w:t>10.</w:t>
            </w:r>
            <w:r>
              <w:rPr>
                <w:sz w:val="21"/>
              </w:rPr>
              <w:t>所提供的实验环境须支持多个学生不同模型训练任务同时运行，提高资源使用效率；</w:t>
            </w:r>
          </w:p>
          <w:p>
            <w:pPr>
              <w:jc w:val="both"/>
            </w:pPr>
            <w:r>
              <w:rPr>
                <w:sz w:val="21"/>
              </w:rPr>
              <w:t>11.</w:t>
            </w:r>
            <w:r>
              <w:rPr>
                <w:sz w:val="21"/>
              </w:rPr>
              <w:t>平台不同用户之间可实现计算资源隔离，保障用户计算资源的使用；</w:t>
            </w:r>
          </w:p>
          <w:p>
            <w:pPr>
              <w:jc w:val="both"/>
            </w:pPr>
            <w:r>
              <w:rPr>
                <w:sz w:val="21"/>
              </w:rPr>
              <w:t>12.</w:t>
            </w:r>
            <w:r>
              <w:rPr>
                <w:sz w:val="21"/>
              </w:rPr>
              <w:t>所提供的实验环境须对多种深度学习框架进行支持，包括但不限于：TensorFlow、Keras、PyTorch、Caffe等</w:t>
            </w:r>
          </w:p>
          <w:p>
            <w:pPr>
              <w:jc w:val="both"/>
            </w:pPr>
            <w:r>
              <w:rPr>
                <w:sz w:val="21"/>
              </w:rPr>
              <w:t>13.</w:t>
            </w:r>
            <w:r>
              <w:rPr>
                <w:sz w:val="21"/>
              </w:rPr>
              <w:t>平台须提供基础的统一镜像，该镜像的操作系统为Ubuntu 18.04.4 LTS。用户可基于该镜像安装主流的深度学习框架和主流的依赖包，不易产生冲突；</w:t>
            </w:r>
          </w:p>
          <w:p>
            <w:pPr>
              <w:jc w:val="both"/>
            </w:pPr>
            <w:r>
              <w:rPr>
                <w:sz w:val="21"/>
              </w:rPr>
              <w:t>14.</w:t>
            </w:r>
            <w:r>
              <w:rPr>
                <w:sz w:val="21"/>
              </w:rPr>
              <w:t>实验环境需支持在线方式部署模型预测应用，且需支持图像分类或目标检测等模型预测效果web页面展示；（提供操作演示视频）</w:t>
            </w:r>
          </w:p>
          <w:p>
            <w:pPr>
              <w:jc w:val="both"/>
            </w:pPr>
            <w:r>
              <w:rPr>
                <w:sz w:val="21"/>
              </w:rPr>
              <w:t>15.</w:t>
            </w:r>
            <w:r>
              <w:rPr>
                <w:sz w:val="21"/>
              </w:rPr>
              <w:t>▲支持用户针对编辑过的.ipynb格式文件一键还原至初始状态，方便学生实验过程中的回退修改；（需提供佐证图片）</w:t>
            </w:r>
          </w:p>
          <w:p>
            <w:pPr>
              <w:jc w:val="both"/>
            </w:pPr>
            <w:r>
              <w:rPr>
                <w:sz w:val="21"/>
              </w:rPr>
              <w:t>16.</w:t>
            </w:r>
            <w:r>
              <w:rPr>
                <w:sz w:val="21"/>
              </w:rPr>
              <w:t>开发环境底层基于K8S容器化架构，提供较好的可扩展性和可伸缩性，方便扩容；</w:t>
            </w:r>
          </w:p>
          <w:p>
            <w:pPr>
              <w:jc w:val="both"/>
            </w:pPr>
            <w:r>
              <w:rPr>
                <w:sz w:val="21"/>
              </w:rPr>
              <w:t>17.</w:t>
            </w:r>
            <w:r>
              <w:rPr>
                <w:sz w:val="21"/>
              </w:rPr>
              <w:t>平台支持实时显示当前内存和CPU占用情况，支持选手手动终止占用资源较大的应用程序；</w:t>
            </w:r>
          </w:p>
          <w:p>
            <w:pPr>
              <w:jc w:val="both"/>
            </w:pPr>
            <w:r>
              <w:rPr>
                <w:sz w:val="21"/>
              </w:rPr>
              <w:t>18.</w:t>
            </w:r>
            <w:r>
              <w:rPr>
                <w:sz w:val="21"/>
              </w:rPr>
              <w:t>需提供可视化模型训练工具进行预训练模型重训，可支持图像采集、标注后的数据通过简单的参数设置快速的在工具上进行数据处理、模型训练与评估和部署的相关功能；（提供操作演示视频）</w:t>
            </w:r>
          </w:p>
          <w:p>
            <w:pPr>
              <w:jc w:val="both"/>
            </w:pPr>
            <w:r>
              <w:rPr>
                <w:sz w:val="21"/>
              </w:rPr>
              <w:t>19.</w:t>
            </w:r>
            <w:r>
              <w:rPr>
                <w:sz w:val="21"/>
              </w:rPr>
              <w:t>实验环境需可为用户提供可以一键重置实验环境，重置后系统开发环境还原为初始状态，实验过程中安装的依赖包需被清除，方便学生开展不同实验任务之间环境不产生冲突；（提供操作演示视频）</w:t>
            </w:r>
          </w:p>
          <w:p>
            <w:pPr>
              <w:jc w:val="both"/>
            </w:pPr>
            <w:r>
              <w:rPr>
                <w:sz w:val="21"/>
              </w:rPr>
              <w:t>20.</w:t>
            </w:r>
            <w:r>
              <w:rPr>
                <w:sz w:val="21"/>
              </w:rPr>
              <w:t>实验环境要求支持实验环境容器重置后，用户个人文件仍然存在，可持久化保存文件；</w:t>
            </w:r>
          </w:p>
          <w:p>
            <w:pPr>
              <w:jc w:val="both"/>
            </w:pPr>
            <w:r>
              <w:rPr>
                <w:sz w:val="21"/>
              </w:rPr>
              <w:t>21.</w:t>
            </w:r>
            <w:r>
              <w:rPr>
                <w:sz w:val="21"/>
              </w:rPr>
              <w:t>▲支持对CPU、GPU、内存的总资源、已分配资源、分配率进行展示，帮助管理员/教师掌控资源是否足够，方便决策是否需要升级更高版本或者增加物理资源；（需提供佐证图片）</w:t>
            </w:r>
          </w:p>
          <w:p>
            <w:pPr>
              <w:jc w:val="both"/>
            </w:pPr>
            <w:r>
              <w:rPr>
                <w:sz w:val="21"/>
              </w:rPr>
              <w:t>22.</w:t>
            </w:r>
            <w:r>
              <w:rPr>
                <w:sz w:val="21"/>
              </w:rPr>
              <w:t>▲支持基于容器实现GPU虚拟化，虚拟化vGPU可配置算力大小，可配置显存大小，可根据实际教学需要配置vGPU，提高物理GPU利用率；（需提供佐证图片）</w:t>
            </w:r>
          </w:p>
          <w:p>
            <w:pPr>
              <w:jc w:val="both"/>
            </w:pPr>
            <w:r>
              <w:rPr>
                <w:sz w:val="21"/>
              </w:rPr>
              <w:t>23.</w:t>
            </w:r>
            <w:r>
              <w:rPr>
                <w:sz w:val="21"/>
              </w:rPr>
              <w:t>支持实验环境资源与镜像配置，管理员可根据教学不同阶段需要灵活配置学生实验容器CPU、内存、GPU以及实验镜像参数；</w:t>
            </w:r>
          </w:p>
          <w:p>
            <w:pPr>
              <w:jc w:val="both"/>
            </w:pPr>
            <w:r>
              <w:rPr>
                <w:sz w:val="21"/>
              </w:rPr>
              <w:t>24.</w:t>
            </w:r>
            <w:r>
              <w:rPr>
                <w:sz w:val="21"/>
              </w:rPr>
              <w:t>支持任务学习过程中章节快速切换、任务进度跟踪、剩余时间倒计时，报告填写提交、上下节导航、当前节提交、任务提交、成绩查看、截屏、学习资料上传等子功能；（需提供佐证图片）</w:t>
            </w:r>
          </w:p>
          <w:p>
            <w:pPr>
              <w:jc w:val="both"/>
            </w:pPr>
            <w:r>
              <w:rPr>
                <w:sz w:val="21"/>
              </w:rPr>
              <w:t>25.</w:t>
            </w:r>
            <w:r>
              <w:rPr>
                <w:sz w:val="21"/>
              </w:rPr>
              <w:t>终端实训模式页面，支持实训手册与终端环境左右同屏能力，学生可切换成仅文档模式来满屏查看课件，也可切换成全屏终端模式来操作命令行；</w:t>
            </w:r>
          </w:p>
          <w:p>
            <w:pPr>
              <w:jc w:val="both"/>
            </w:pPr>
            <w:r>
              <w:rPr>
                <w:sz w:val="21"/>
              </w:rPr>
              <w:t>26.</w:t>
            </w:r>
            <w:r>
              <w:rPr>
                <w:sz w:val="21"/>
              </w:rPr>
              <w:t>支持切换回课件与终端环境左右同屏；</w:t>
            </w:r>
          </w:p>
          <w:p>
            <w:pPr>
              <w:jc w:val="both"/>
            </w:pPr>
            <w:r>
              <w:rPr>
                <w:sz w:val="21"/>
              </w:rPr>
              <w:t>27.</w:t>
            </w:r>
            <w:r>
              <w:rPr>
                <w:sz w:val="21"/>
              </w:rPr>
              <w:t>命令行操作支持用户复制、粘贴代码段；</w:t>
            </w:r>
          </w:p>
          <w:p>
            <w:pPr>
              <w:jc w:val="both"/>
            </w:pPr>
            <w:r>
              <w:rPr>
                <w:sz w:val="21"/>
              </w:rPr>
              <w:t>28.</w:t>
            </w:r>
            <w:r>
              <w:rPr>
                <w:sz w:val="21"/>
              </w:rPr>
              <w:t>支持自由实验功能，学生在同一页面上同时显示两个终端环境，方便在进行多任务时的快速操作；</w:t>
            </w:r>
          </w:p>
          <w:p>
            <w:pPr>
              <w:jc w:val="left"/>
            </w:pPr>
            <w:r>
              <w:rPr>
                <w:sz w:val="21"/>
              </w:rPr>
              <w:t>29</w:t>
            </w:r>
            <w:r>
              <w:rPr>
                <w:sz w:val="21"/>
              </w:rPr>
              <w:t>．平台须提供实验环境管理，包括集群管理、镜像列表、IP池列表、实验环境、持久卷管理、实例管理、实验记录；（需提供佐证图片）</w:t>
            </w:r>
          </w:p>
          <w:p>
            <w:pPr>
              <w:jc w:val="left"/>
            </w:pPr>
            <w:r>
              <w:rPr>
                <w:sz w:val="21"/>
              </w:rPr>
              <w:t>30.</w:t>
            </w:r>
            <w:r>
              <w:rPr>
                <w:sz w:val="21"/>
              </w:rPr>
              <w:t>▲镜像列表支持选择tar文件上传镜像并提交到harbor私有仓库，将上传后的镜像批量推送到K8S服务器集群。IP池列表支持某区间批量新增IP、支持批量删除；（需提供佐证图片）</w:t>
            </w:r>
          </w:p>
          <w:p>
            <w:pPr>
              <w:jc w:val="left"/>
            </w:pPr>
            <w:r>
              <w:rPr>
                <w:sz w:val="21"/>
              </w:rPr>
              <w:t>31.</w:t>
            </w:r>
            <w:r>
              <w:rPr>
                <w:sz w:val="21"/>
              </w:rPr>
              <w:t>实验环境支持yaml文件上传及手动输入yaml内容的方式创建实验环境；</w:t>
            </w:r>
          </w:p>
          <w:p>
            <w:pPr>
              <w:jc w:val="left"/>
            </w:pPr>
            <w:r>
              <w:rPr>
                <w:sz w:val="21"/>
              </w:rPr>
              <w:t>32.</w:t>
            </w:r>
            <w:r>
              <w:rPr>
                <w:sz w:val="21"/>
              </w:rPr>
              <w:t>▲支持环境生成持久卷快照，利用持久卷快照快速创建指定帐号的数据持久目录；（需提供佐证图片）</w:t>
            </w:r>
          </w:p>
          <w:p>
            <w:pPr>
              <w:jc w:val="left"/>
            </w:pPr>
            <w:r>
              <w:rPr>
                <w:sz w:val="21"/>
              </w:rPr>
              <w:t>33.</w:t>
            </w:r>
            <w:r>
              <w:rPr>
                <w:sz w:val="21"/>
              </w:rPr>
              <w:t>▲实例管理支持监控实验的任务、IP、状态、启动时间、退出时间、时长、使用镜像等信息，以及实例的禁用、释放、登录操作；（需提供佐证图片）</w:t>
            </w:r>
          </w:p>
          <w:p>
            <w:pPr>
              <w:jc w:val="left"/>
            </w:pPr>
            <w:r>
              <w:rPr>
                <w:sz w:val="21"/>
              </w:rPr>
              <w:t>34.</w:t>
            </w:r>
            <w:r>
              <w:rPr>
                <w:sz w:val="21"/>
              </w:rPr>
              <w:t>▲平台支持实验插件管理，支持设定插件名称、URL、认证类型、密钥及认证规则管理实验组件；（需提供佐证图片）</w:t>
            </w:r>
          </w:p>
          <w:p>
            <w:pPr>
              <w:jc w:val="both"/>
            </w:pPr>
            <w:r>
              <w:rPr>
                <w:sz w:val="21"/>
              </w:rPr>
              <w:t>四、平台配套课程资源：</w:t>
            </w:r>
          </w:p>
          <w:p>
            <w:pPr>
              <w:jc w:val="both"/>
            </w:pPr>
            <w:r>
              <w:rPr>
                <w:sz w:val="21"/>
              </w:rPr>
              <w:t>1.</w:t>
            </w:r>
            <w:r>
              <w:rPr>
                <w:sz w:val="21"/>
              </w:rPr>
              <w:t>《Python程序设计》课程资源：</w:t>
            </w:r>
          </w:p>
          <w:p>
            <w:pPr>
              <w:jc w:val="left"/>
            </w:pPr>
            <w:r>
              <w:rPr>
                <w:sz w:val="21"/>
              </w:rPr>
              <w:t>教学资源须配套《Python程序设计》课程实训指导手册、教学PPT、教学视频、案例源码及数据集等内容。</w:t>
            </w:r>
          </w:p>
          <w:p>
            <w:pPr>
              <w:jc w:val="both"/>
            </w:pPr>
            <w:r>
              <w:rPr>
                <w:sz w:val="21"/>
              </w:rPr>
              <w:t>（1）需满足不低于64课时教学。</w:t>
            </w:r>
          </w:p>
          <w:p>
            <w:pPr>
              <w:jc w:val="both"/>
            </w:pPr>
            <w:r>
              <w:rPr>
                <w:sz w:val="21"/>
              </w:rPr>
              <w:t>（2）符合项目式教学模式，每个项目围绕某一领域工作任务或知识点开展，每个项目中包含2-4个实操任务，每个实操任务满足约2个课时的实操教学。</w:t>
            </w:r>
          </w:p>
          <w:p>
            <w:pPr>
              <w:jc w:val="both"/>
            </w:pPr>
            <w:r>
              <w:rPr>
                <w:sz w:val="21"/>
              </w:rPr>
              <w:t>（3）提供不低于20份实训指导手册，每份实训指导手册匹配一项实操任务，若该实操任务采用JupyterNotebook方式开展，该实训指导手册可以.ipynb格式文件提供，若不是，可以word或pdf格式文件提供。</w:t>
            </w:r>
          </w:p>
          <w:p>
            <w:pPr>
              <w:jc w:val="both"/>
            </w:pPr>
            <w:r>
              <w:rPr>
                <w:sz w:val="21"/>
              </w:rPr>
              <w:t>（4）提供不低于20份教学视频，对实操任务的教学过程进行讲解，讲解过程清晰，涵盖实操任务完整过程。</w:t>
            </w:r>
          </w:p>
          <w:p>
            <w:pPr>
              <w:jc w:val="both"/>
            </w:pPr>
            <w:r>
              <w:rPr>
                <w:sz w:val="21"/>
              </w:rPr>
              <w:t>（5）提供不低于20份教学PPT。根据教学内容配套，教学课件内容须贴合实际教学。</w:t>
            </w:r>
          </w:p>
          <w:p>
            <w:pPr>
              <w:jc w:val="both"/>
            </w:pPr>
            <w:r>
              <w:rPr>
                <w:sz w:val="21"/>
              </w:rPr>
              <w:t>（6）提供相关案例源码及数据集文件。</w:t>
            </w:r>
          </w:p>
          <w:p>
            <w:pPr>
              <w:jc w:val="both"/>
            </w:pPr>
            <w:r>
              <w:rPr>
                <w:sz w:val="21"/>
              </w:rPr>
              <w:t>（7）教学资源内容须涵盖但不限于以下内容：</w:t>
            </w:r>
          </w:p>
          <w:p>
            <w:pPr>
              <w:jc w:val="both"/>
            </w:pPr>
            <w:r>
              <w:rPr>
                <w:sz w:val="21"/>
              </w:rPr>
              <w:t>a.</w:t>
            </w:r>
            <w:r>
              <w:rPr>
                <w:sz w:val="21"/>
              </w:rPr>
              <w:t>认识Python程序：程序的成分构成</w:t>
            </w:r>
          </w:p>
          <w:p>
            <w:pPr>
              <w:jc w:val="both"/>
            </w:pPr>
            <w:r>
              <w:rPr>
                <w:sz w:val="21"/>
              </w:rPr>
              <w:t>b.Python</w:t>
            </w:r>
            <w:r>
              <w:rPr>
                <w:sz w:val="21"/>
              </w:rPr>
              <w:t>基础：Python中的值类型、Python中的运算操作符。</w:t>
            </w:r>
          </w:p>
          <w:p>
            <w:pPr>
              <w:jc w:val="both"/>
            </w:pPr>
            <w:r>
              <w:rPr>
                <w:sz w:val="21"/>
              </w:rPr>
              <w:t>c.</w:t>
            </w:r>
            <w:r>
              <w:rPr>
                <w:sz w:val="21"/>
              </w:rPr>
              <w:t>流程控制：条件语句、循环语句。</w:t>
            </w:r>
          </w:p>
          <w:p>
            <w:pPr>
              <w:jc w:val="both"/>
            </w:pPr>
            <w:r>
              <w:rPr>
                <w:sz w:val="21"/>
              </w:rPr>
              <w:t>d.</w:t>
            </w:r>
            <w:r>
              <w:rPr>
                <w:sz w:val="21"/>
              </w:rPr>
              <w:t>字符串：字符串介绍、字符串的函数介绍。</w:t>
            </w:r>
          </w:p>
          <w:p>
            <w:pPr>
              <w:jc w:val="both"/>
            </w:pPr>
            <w:r>
              <w:rPr>
                <w:sz w:val="21"/>
              </w:rPr>
              <w:t>e.</w:t>
            </w:r>
            <w:r>
              <w:rPr>
                <w:sz w:val="21"/>
              </w:rPr>
              <w:t>数据容器：列表与元组、集合与字典、迭代与嵌套。</w:t>
            </w:r>
          </w:p>
          <w:p>
            <w:pPr>
              <w:jc w:val="both"/>
            </w:pPr>
            <w:r>
              <w:rPr>
                <w:sz w:val="21"/>
              </w:rPr>
              <w:t>f.</w:t>
            </w:r>
            <w:r>
              <w:rPr>
                <w:sz w:val="21"/>
              </w:rPr>
              <w:t>函数：函数的参数、函数的值。</w:t>
            </w:r>
          </w:p>
          <w:p>
            <w:pPr>
              <w:jc w:val="both"/>
            </w:pPr>
            <w:r>
              <w:rPr>
                <w:sz w:val="21"/>
              </w:rPr>
              <w:t>g.</w:t>
            </w:r>
            <w:r>
              <w:rPr>
                <w:sz w:val="21"/>
              </w:rPr>
              <w:t>文件：文件的基础操作、With语句块。</w:t>
            </w:r>
          </w:p>
          <w:p>
            <w:pPr>
              <w:jc w:val="both"/>
            </w:pPr>
            <w:r>
              <w:rPr>
                <w:sz w:val="21"/>
              </w:rPr>
              <w:t>h.</w:t>
            </w:r>
            <w:r>
              <w:rPr>
                <w:sz w:val="21"/>
              </w:rPr>
              <w:t>面向对象：类与对象、变量的作用域、类的继承与重写。</w:t>
            </w:r>
          </w:p>
          <w:p>
            <w:pPr>
              <w:jc w:val="both"/>
            </w:pPr>
            <w:r>
              <w:rPr>
                <w:sz w:val="21"/>
              </w:rPr>
              <w:t>i.</w:t>
            </w:r>
            <w:r>
              <w:rPr>
                <w:sz w:val="21"/>
              </w:rPr>
              <w:t>模块：模块的介绍与作用。</w:t>
            </w:r>
          </w:p>
          <w:p>
            <w:pPr>
              <w:jc w:val="both"/>
            </w:pPr>
            <w:r>
              <w:rPr>
                <w:sz w:val="21"/>
              </w:rPr>
              <w:t>j.</w:t>
            </w:r>
            <w:r>
              <w:rPr>
                <w:sz w:val="21"/>
              </w:rPr>
              <w:t>数据可视化案例分析：销售记录可视化、鸢尾花数据可视化。</w:t>
            </w:r>
          </w:p>
          <w:p>
            <w:pPr>
              <w:jc w:val="left"/>
            </w:pPr>
            <w:r>
              <w:rPr>
                <w:sz w:val="21"/>
              </w:rPr>
              <w:t>2.</w:t>
            </w:r>
            <w:r>
              <w:rPr>
                <w:sz w:val="21"/>
              </w:rPr>
              <w:t>《Linux操作系统》课程资源：</w:t>
            </w:r>
          </w:p>
          <w:p>
            <w:pPr>
              <w:jc w:val="left"/>
            </w:pPr>
            <w:r>
              <w:rPr>
                <w:sz w:val="21"/>
              </w:rPr>
              <w:t>教学资源须配套《Linux操作系统》课程实训指导手册、教学PPT、教学视频、案例源码及数据集等内容。</w:t>
            </w:r>
          </w:p>
          <w:p>
            <w:pPr>
              <w:jc w:val="both"/>
            </w:pPr>
            <w:r>
              <w:rPr>
                <w:sz w:val="21"/>
              </w:rPr>
              <w:t>（1）需满足不低于64课时教学。</w:t>
            </w:r>
          </w:p>
          <w:p>
            <w:pPr>
              <w:jc w:val="both"/>
            </w:pPr>
            <w:r>
              <w:rPr>
                <w:sz w:val="21"/>
              </w:rPr>
              <w:t>（2）符合项目式教学模式，每个项目围绕某一领域工作任务或知识点开展，每个项目中包含2-4个实操任务，每个实操任务满足约2个课时的实操教学。</w:t>
            </w:r>
          </w:p>
          <w:p>
            <w:pPr>
              <w:jc w:val="both"/>
            </w:pPr>
            <w:r>
              <w:rPr>
                <w:sz w:val="21"/>
              </w:rPr>
              <w:t>（3）提供不低于21份实训指导手册，每份实训指导手册匹配一项实操任务，若该实操任务采用JupyterNotebook方式开展，该实训指导手册可以.ipynb格式文件提供，若不是，可以word或pdf格式文件提供。</w:t>
            </w:r>
          </w:p>
          <w:p>
            <w:pPr>
              <w:jc w:val="both"/>
            </w:pPr>
            <w:r>
              <w:rPr>
                <w:sz w:val="21"/>
              </w:rPr>
              <w:t>（4）提供不低于21份教学视频，对实操任务的教学过程进行讲解，讲解过程清晰，涵盖实操任务完整过程。</w:t>
            </w:r>
          </w:p>
          <w:p>
            <w:pPr>
              <w:jc w:val="both"/>
            </w:pPr>
            <w:r>
              <w:rPr>
                <w:sz w:val="21"/>
              </w:rPr>
              <w:t>（5）提供不低于21份教学PPT。根据教学内容配套，教学课件内容须贴合实际教学。</w:t>
            </w:r>
          </w:p>
          <w:p>
            <w:pPr>
              <w:jc w:val="both"/>
            </w:pPr>
            <w:r>
              <w:rPr>
                <w:sz w:val="21"/>
              </w:rPr>
              <w:t>（6）提供相关案例源码及数据集文件。</w:t>
            </w:r>
          </w:p>
          <w:p>
            <w:pPr>
              <w:jc w:val="both"/>
            </w:pPr>
            <w:r>
              <w:rPr>
                <w:sz w:val="21"/>
              </w:rPr>
              <w:t>（7）教学资源内容须涵盖但不限于以下内容：</w:t>
            </w:r>
          </w:p>
          <w:p>
            <w:pPr>
              <w:jc w:val="both"/>
            </w:pPr>
            <w:r>
              <w:rPr>
                <w:sz w:val="21"/>
              </w:rPr>
              <w:t>a.</w:t>
            </w:r>
            <w:r>
              <w:rPr>
                <w:sz w:val="21"/>
              </w:rPr>
              <w:t>安装与配置linux操作系统：使用VMware安装Ubuntu18.04 操作系统</w:t>
            </w:r>
          </w:p>
          <w:p>
            <w:pPr>
              <w:jc w:val="both"/>
            </w:pPr>
            <w:r>
              <w:rPr>
                <w:sz w:val="21"/>
              </w:rPr>
              <w:t>b.</w:t>
            </w:r>
            <w:r>
              <w:rPr>
                <w:sz w:val="21"/>
              </w:rPr>
              <w:t>基本命令使用：Linux查看帮助信息的命令、Linux目录管理命令、Linux文件管理命令、 Linux目录文件通用管理命令。</w:t>
            </w:r>
          </w:p>
          <w:p>
            <w:pPr>
              <w:jc w:val="both"/>
            </w:pPr>
            <w:r>
              <w:rPr>
                <w:sz w:val="21"/>
              </w:rPr>
              <w:t>c.</w:t>
            </w:r>
            <w:r>
              <w:rPr>
                <w:sz w:val="21"/>
              </w:rPr>
              <w:t>文件内容查看、解压和压缩：文件内容查看1；文件内容查看2；文件解压和压缩命令。</w:t>
            </w:r>
          </w:p>
          <w:p>
            <w:pPr>
              <w:jc w:val="both"/>
            </w:pPr>
            <w:r>
              <w:rPr>
                <w:sz w:val="21"/>
              </w:rPr>
              <w:t>d.</w:t>
            </w:r>
            <w:r>
              <w:rPr>
                <w:sz w:val="21"/>
              </w:rPr>
              <w:t>用户和组管理：用户管理、用户组管理、su和sudo命令。</w:t>
            </w:r>
          </w:p>
          <w:p>
            <w:pPr>
              <w:jc w:val="both"/>
            </w:pPr>
            <w:r>
              <w:rPr>
                <w:sz w:val="21"/>
              </w:rPr>
              <w:t>f.</w:t>
            </w:r>
            <w:r>
              <w:rPr>
                <w:sz w:val="21"/>
              </w:rPr>
              <w:t>系统、硬件和软件管理：硬件管理、系统管理、软件管理。</w:t>
            </w:r>
          </w:p>
          <w:p>
            <w:pPr>
              <w:jc w:val="both"/>
            </w:pPr>
            <w:r>
              <w:rPr>
                <w:sz w:val="21"/>
              </w:rPr>
              <w:t>g.vim</w:t>
            </w:r>
            <w:r>
              <w:rPr>
                <w:sz w:val="21"/>
              </w:rPr>
              <w:t>编辑器使用： Vim基本操作、Vim修改和替换操作、Vim文件操作、Vim其他操作。</w:t>
            </w:r>
          </w:p>
          <w:p>
            <w:pPr>
              <w:jc w:val="both"/>
            </w:pPr>
            <w:r>
              <w:rPr>
                <w:sz w:val="21"/>
              </w:rPr>
              <w:t>h.shell</w:t>
            </w:r>
            <w:r>
              <w:rPr>
                <w:sz w:val="21"/>
              </w:rPr>
              <w:t>脚本编程基础：shell变量、 shell脚本中的特殊字符、条件判断与循环结构。</w:t>
            </w:r>
          </w:p>
          <w:p>
            <w:pPr>
              <w:jc w:val="both"/>
            </w:pPr>
            <w:r>
              <w:rPr>
                <w:sz w:val="21"/>
              </w:rPr>
              <w:t>3.</w:t>
            </w:r>
            <w:r>
              <w:rPr>
                <w:sz w:val="21"/>
              </w:rPr>
              <w:t>《数据标注与处理》课程资源：</w:t>
            </w:r>
          </w:p>
          <w:p>
            <w:pPr>
              <w:jc w:val="left"/>
            </w:pPr>
            <w:r>
              <w:rPr>
                <w:sz w:val="21"/>
              </w:rPr>
              <w:t>教学资源须配套《数据标注与处理》课程实训指导手册、教学PPT、教学视频、案例源码及数据集等内容。</w:t>
            </w:r>
          </w:p>
          <w:p>
            <w:pPr>
              <w:jc w:val="both"/>
            </w:pPr>
            <w:r>
              <w:rPr>
                <w:sz w:val="21"/>
              </w:rPr>
              <w:t>（1）需满足不低于48课时教学。</w:t>
            </w:r>
          </w:p>
          <w:p>
            <w:pPr>
              <w:jc w:val="both"/>
            </w:pPr>
            <w:r>
              <w:rPr>
                <w:sz w:val="21"/>
              </w:rPr>
              <w:t>（2）符合项目式教学模式，每个项目围绕某一领域工作任务或知识点开展，每个项目中包含2-4个实操任务，每个实操任务满足约2个课时的实操教学。</w:t>
            </w:r>
          </w:p>
          <w:p>
            <w:pPr>
              <w:jc w:val="both"/>
            </w:pPr>
            <w:r>
              <w:rPr>
                <w:sz w:val="21"/>
              </w:rPr>
              <w:t>（3）提供不低于12份实训指导手册，每份实训指导手册匹配一项实操任务，若该实操任务采用JupyterNotebook方式开展，该实训指导手册可以.ipynb格式文件提供，若不是，可以word或pdf格式文件提供。</w:t>
            </w:r>
          </w:p>
          <w:p>
            <w:pPr>
              <w:jc w:val="both"/>
            </w:pPr>
            <w:r>
              <w:rPr>
                <w:sz w:val="21"/>
              </w:rPr>
              <w:t>（4）提供不低于12份教学视频，对实操任务的教学过程进行讲解，讲解过程清晰，涵盖实操任务完整过程。</w:t>
            </w:r>
          </w:p>
          <w:p>
            <w:pPr>
              <w:jc w:val="both"/>
            </w:pPr>
            <w:r>
              <w:rPr>
                <w:sz w:val="21"/>
              </w:rPr>
              <w:t>（5）提供不低于12份教学PPT。根据教学内容配套，教学课件内容须贴合实际教学。</w:t>
            </w:r>
          </w:p>
          <w:p>
            <w:pPr>
              <w:jc w:val="both"/>
            </w:pPr>
            <w:r>
              <w:rPr>
                <w:sz w:val="21"/>
              </w:rPr>
              <w:t>（6）提供相关案例源码及数据集文件。</w:t>
            </w:r>
          </w:p>
          <w:p>
            <w:pPr>
              <w:jc w:val="both"/>
            </w:pPr>
            <w:r>
              <w:rPr>
                <w:sz w:val="21"/>
              </w:rPr>
              <w:t>（7）教学资源内容须涵盖但不限于以下内容：</w:t>
            </w:r>
          </w:p>
          <w:p>
            <w:pPr>
              <w:jc w:val="both"/>
            </w:pPr>
            <w:r>
              <w:rPr>
                <w:sz w:val="21"/>
              </w:rPr>
              <w:t>a.</w:t>
            </w:r>
            <w:r>
              <w:rPr>
                <w:sz w:val="21"/>
              </w:rPr>
              <w:t>图片标注：图像基础操作、图像处理、图像分类标注、图像标框标注、图像描点标注。</w:t>
            </w:r>
          </w:p>
          <w:p>
            <w:pPr>
              <w:jc w:val="both"/>
            </w:pPr>
            <w:r>
              <w:rPr>
                <w:sz w:val="21"/>
              </w:rPr>
              <w:t>b.</w:t>
            </w:r>
            <w:r>
              <w:rPr>
                <w:sz w:val="21"/>
              </w:rPr>
              <w:t>文本标注：常见的文本处理方法、文本分类标注、实体命名标注。</w:t>
            </w:r>
          </w:p>
          <w:p>
            <w:pPr>
              <w:jc w:val="both"/>
            </w:pPr>
            <w:r>
              <w:rPr>
                <w:sz w:val="21"/>
              </w:rPr>
              <w:t>c.</w:t>
            </w:r>
            <w:r>
              <w:rPr>
                <w:sz w:val="21"/>
              </w:rPr>
              <w:t>语音标注：语音数据标注、音频滤波以及降噪方法。</w:t>
            </w:r>
          </w:p>
          <w:p>
            <w:pPr>
              <w:jc w:val="both"/>
            </w:pPr>
            <w:r>
              <w:rPr>
                <w:sz w:val="21"/>
              </w:rPr>
              <w:t>d.</w:t>
            </w:r>
            <w:r>
              <w:rPr>
                <w:sz w:val="21"/>
              </w:rPr>
              <w:t>视频标注：视频处理、视频物体追踪标注。</w:t>
            </w:r>
          </w:p>
          <w:p>
            <w:pPr>
              <w:jc w:val="left"/>
            </w:pPr>
            <w:r>
              <w:rPr>
                <w:sz w:val="21"/>
              </w:rPr>
              <w:t>4.</w:t>
            </w:r>
            <w:r>
              <w:rPr>
                <w:sz w:val="21"/>
              </w:rPr>
              <w:t>《人工智能训练师中级工认证课程》课程资源：</w:t>
            </w:r>
          </w:p>
          <w:p>
            <w:pPr>
              <w:jc w:val="left"/>
            </w:pPr>
            <w:r>
              <w:rPr>
                <w:sz w:val="21"/>
              </w:rPr>
              <w:t>教学资源须配套《人工智能训练师中级工认证课程》课程实训指导手册、教学PPT、教学视频、案例源码及数据集等内容。</w:t>
            </w:r>
          </w:p>
          <w:p>
            <w:pPr>
              <w:jc w:val="both"/>
            </w:pPr>
            <w:r>
              <w:rPr>
                <w:sz w:val="21"/>
              </w:rPr>
              <w:t>（1）需满足不低于50课时教学。</w:t>
            </w:r>
          </w:p>
          <w:p>
            <w:pPr>
              <w:jc w:val="both"/>
            </w:pPr>
            <w:r>
              <w:rPr>
                <w:sz w:val="21"/>
              </w:rPr>
              <w:t>（2）包含人工智能训练师中级工认证考试知识点，能够支撑认证考试，符合项目式教学模式，每个项目围绕某一领域工作任务或知识点开展，每个项目中包含1-3个实操任务，每个实操任务满足约2个课时的实操教学。</w:t>
            </w:r>
          </w:p>
          <w:p>
            <w:pPr>
              <w:jc w:val="both"/>
            </w:pPr>
            <w:r>
              <w:rPr>
                <w:sz w:val="21"/>
              </w:rPr>
              <w:t>（3）提供不低于12份实训指导手册，每份实训指导手册匹配一项实操任务，若该实操任务采用JupyterNotebook方式开展，该实训指导手册可以.ipynb格式文件提供，若不是，可以word或pdf格式文件提供。</w:t>
            </w:r>
          </w:p>
          <w:p>
            <w:pPr>
              <w:jc w:val="both"/>
            </w:pPr>
            <w:r>
              <w:rPr>
                <w:sz w:val="21"/>
              </w:rPr>
              <w:t>（4）提供不低于20份教学视频，对实操任务的教学过程进行讲解，讲解过程清晰，涵盖实操任务完整过程。</w:t>
            </w:r>
          </w:p>
          <w:p>
            <w:pPr>
              <w:jc w:val="both"/>
            </w:pPr>
            <w:r>
              <w:rPr>
                <w:sz w:val="21"/>
              </w:rPr>
              <w:t>（5）提供不低于16份教学PPT。根据教学内容配套，教学课件内容须贴合实际教学。</w:t>
            </w:r>
          </w:p>
          <w:p>
            <w:pPr>
              <w:jc w:val="both"/>
            </w:pPr>
            <w:r>
              <w:rPr>
                <w:sz w:val="21"/>
              </w:rPr>
              <w:t>（6）提供相关案例源码及数据集文件。</w:t>
            </w:r>
          </w:p>
          <w:p>
            <w:pPr>
              <w:jc w:val="both"/>
            </w:pPr>
            <w:r>
              <w:rPr>
                <w:sz w:val="21"/>
              </w:rPr>
              <w:t>（7）教学资源内容须涵盖但不限于以下内容：</w:t>
            </w:r>
          </w:p>
          <w:p>
            <w:pPr>
              <w:jc w:val="both"/>
            </w:pPr>
            <w:r>
              <w:rPr>
                <w:sz w:val="21"/>
              </w:rPr>
              <w:t>a.</w:t>
            </w:r>
            <w:r>
              <w:rPr>
                <w:sz w:val="21"/>
              </w:rPr>
              <w:t>业务数据质量检测：Pandas数据统计计算、Pandas缺失数据检测与处理</w:t>
            </w:r>
          </w:p>
          <w:p>
            <w:pPr>
              <w:jc w:val="both"/>
            </w:pPr>
            <w:r>
              <w:rPr>
                <w:sz w:val="21"/>
              </w:rPr>
              <w:t>b.</w:t>
            </w:r>
            <w:r>
              <w:rPr>
                <w:sz w:val="21"/>
              </w:rPr>
              <w:t>数据处理方法优化：Python文本数据处理基本方法、猫狗识别图像数据筛选与匹配</w:t>
            </w:r>
          </w:p>
          <w:p>
            <w:pPr>
              <w:jc w:val="left"/>
            </w:pPr>
            <w:r>
              <w:rPr>
                <w:sz w:val="21"/>
              </w:rPr>
              <w:t>c.</w:t>
            </w:r>
            <w:r>
              <w:rPr>
                <w:sz w:val="21"/>
              </w:rPr>
              <w:t>▲数据归类和定义：化验诊断结果数据分类分析、中小微企业信贷数据分析、新冠.肺炎疫情数据可视化（需提供与该实训项目中每个实训任务主题相匹配的实训指导书实操内容截图，每个实训任务至少两张截图）</w:t>
            </w:r>
          </w:p>
          <w:p>
            <w:pPr>
              <w:jc w:val="both"/>
            </w:pPr>
            <w:r>
              <w:rPr>
                <w:sz w:val="21"/>
              </w:rPr>
              <w:t>d.</w:t>
            </w:r>
            <w:r>
              <w:rPr>
                <w:sz w:val="21"/>
              </w:rPr>
              <w:t>▲标注数据审核：无人商超图像数据标注、新闻文本实体命名标注、智慧交通数据集标注审核（需提供与该实训项目中每个实训任务主题相匹配的实训指导书实操内容截图，每个实训任务至少两张截图）</w:t>
            </w:r>
          </w:p>
          <w:p>
            <w:pPr>
              <w:jc w:val="both"/>
            </w:pPr>
            <w:r>
              <w:rPr>
                <w:sz w:val="21"/>
              </w:rPr>
              <w:t>e.</w:t>
            </w:r>
            <w:r>
              <w:rPr>
                <w:sz w:val="21"/>
              </w:rPr>
              <w:t>智能系统维护：智慧工厂安全帽数据服务系统维护</w:t>
            </w:r>
          </w:p>
          <w:p>
            <w:pPr>
              <w:jc w:val="both"/>
            </w:pPr>
            <w:r>
              <w:rPr>
                <w:sz w:val="21"/>
              </w:rPr>
              <w:t>f.</w:t>
            </w:r>
            <w:r>
              <w:rPr>
                <w:sz w:val="21"/>
              </w:rPr>
              <w:t>智能系统优化：智慧工厂安全帽数据服务系统优化</w:t>
            </w:r>
          </w:p>
          <w:p>
            <w:pPr>
              <w:jc w:val="both"/>
            </w:pPr>
            <w:r>
              <w:rPr>
                <w:sz w:val="21"/>
              </w:rPr>
              <w:t>5.</w:t>
            </w:r>
            <w:r>
              <w:rPr>
                <w:sz w:val="21"/>
              </w:rPr>
              <w:t>《人工智能训练师高级工认证课程》课程资源：</w:t>
            </w:r>
          </w:p>
          <w:p>
            <w:pPr>
              <w:jc w:val="left"/>
            </w:pPr>
            <w:r>
              <w:rPr>
                <w:sz w:val="21"/>
              </w:rPr>
              <w:t>教学资源须配套《人工智能训练师中级工认证课程》课程实训指导手册、教学PPT、教学视频、案例源码及数据集等内容。</w:t>
            </w:r>
          </w:p>
          <w:p>
            <w:pPr>
              <w:jc w:val="both"/>
            </w:pPr>
            <w:r>
              <w:rPr>
                <w:sz w:val="21"/>
              </w:rPr>
              <w:t>（1）需满足不低于50课时教学。</w:t>
            </w:r>
          </w:p>
          <w:p>
            <w:pPr>
              <w:jc w:val="both"/>
            </w:pPr>
            <w:r>
              <w:rPr>
                <w:sz w:val="21"/>
              </w:rPr>
              <w:t>（2）包含人工智能训练师高级工认证考试知识点，能够支撑认证考试，符合项目式教学模式，每个项目围绕某一领域工作任务或知识点开展，每个项目中包含1-3个实操任务，每个实操任务满足约2个课时的实操教学。</w:t>
            </w:r>
          </w:p>
          <w:p>
            <w:pPr>
              <w:jc w:val="both"/>
            </w:pPr>
            <w:r>
              <w:rPr>
                <w:sz w:val="21"/>
              </w:rPr>
              <w:t>（3）提供不低于10份实训指导手册，每份实训指导手册匹配一项实操任务，若该实操任务采用JupyterNotebook方式开展，该实训指导手册可以.ipynb格式文件提供，若不是，可以word或pdf格式文件提供。</w:t>
            </w:r>
          </w:p>
          <w:p>
            <w:pPr>
              <w:jc w:val="both"/>
            </w:pPr>
            <w:r>
              <w:rPr>
                <w:sz w:val="21"/>
              </w:rPr>
              <w:t>（4）提供不低于20份教学视频，对实操任务的教学过程进行讲解，讲解过程清晰，涵盖实操任务完整过程。</w:t>
            </w:r>
          </w:p>
          <w:p>
            <w:pPr>
              <w:jc w:val="both"/>
            </w:pPr>
            <w:r>
              <w:rPr>
                <w:sz w:val="21"/>
              </w:rPr>
              <w:t>（5）提供不低于16份教学PPT。根据教学内容配套，教学课件内容须贴合实际教学。</w:t>
            </w:r>
          </w:p>
          <w:p>
            <w:pPr>
              <w:jc w:val="both"/>
            </w:pPr>
            <w:r>
              <w:rPr>
                <w:sz w:val="21"/>
              </w:rPr>
              <w:t>（6）提供相关案例源码及数据集文件。</w:t>
            </w:r>
          </w:p>
          <w:p>
            <w:pPr>
              <w:jc w:val="both"/>
            </w:pPr>
            <w:r>
              <w:rPr>
                <w:sz w:val="21"/>
              </w:rPr>
              <w:t>（7）教学资源内容须涵盖但不限于以下内容：</w:t>
            </w:r>
          </w:p>
          <w:p>
            <w:pPr>
              <w:jc w:val="left"/>
            </w:pPr>
            <w:r>
              <w:rPr>
                <w:sz w:val="21"/>
              </w:rPr>
              <w:t>a.</w:t>
            </w:r>
            <w:r>
              <w:rPr>
                <w:sz w:val="21"/>
              </w:rPr>
              <w:t>业务流程设计与业务模块效果优化：无人超市商品智慧结算业务流程设计、无人超市自动识别业务模块效果优化</w:t>
            </w:r>
          </w:p>
          <w:p>
            <w:pPr>
              <w:jc w:val="left"/>
            </w:pPr>
            <w:r>
              <w:rPr>
                <w:sz w:val="21"/>
              </w:rPr>
              <w:t>b.</w:t>
            </w:r>
            <w:r>
              <w:rPr>
                <w:sz w:val="21"/>
              </w:rPr>
              <w:t>▲数据处理规范制定：餐饮行业文本数据清洗规范、智慧交通图像数据标注规范（需提供与该实训项目中每个实训任务主题相匹配的实训指导书实操内容截图，每个实训任务至少两张截图）</w:t>
            </w:r>
          </w:p>
          <w:p>
            <w:pPr>
              <w:jc w:val="left"/>
            </w:pPr>
            <w:r>
              <w:rPr>
                <w:sz w:val="21"/>
              </w:rPr>
              <w:t>c.</w:t>
            </w:r>
            <w:r>
              <w:rPr>
                <w:sz w:val="21"/>
              </w:rPr>
              <w:t>▲算法测试：新冠肺炎数据集维护与准备、新冠肺炎检测模型算法训练（需提供与该实训项目中每个实训任务主题相匹配的实训指导书实操内容截图，每个实训任务至少两张截图）</w:t>
            </w:r>
          </w:p>
          <w:p>
            <w:pPr>
              <w:jc w:val="left"/>
            </w:pPr>
            <w:r>
              <w:rPr>
                <w:sz w:val="21"/>
              </w:rPr>
              <w:t>d.</w:t>
            </w:r>
            <w:r>
              <w:rPr>
                <w:sz w:val="21"/>
              </w:rPr>
              <w:t>智能系统应用效果的监控和优化：语音对话机器人系统应用效果监控</w:t>
            </w:r>
          </w:p>
          <w:p>
            <w:pPr>
              <w:jc w:val="left"/>
            </w:pPr>
            <w:r>
              <w:rPr>
                <w:sz w:val="21"/>
              </w:rPr>
              <w:t>e.</w:t>
            </w:r>
            <w:r>
              <w:rPr>
                <w:sz w:val="21"/>
              </w:rPr>
              <w:t>人机交互流程设计：政务服务机器人流程设计、无人超市图像采集流程设计</w:t>
            </w:r>
          </w:p>
          <w:p>
            <w:pPr>
              <w:jc w:val="left"/>
            </w:pPr>
            <w:r>
              <w:rPr>
                <w:sz w:val="21"/>
              </w:rPr>
              <w:t>f.</w:t>
            </w:r>
            <w:r>
              <w:rPr>
                <w:sz w:val="21"/>
              </w:rPr>
              <w:t>培训与指导：人工智能技术培训与指导</w:t>
            </w:r>
          </w:p>
          <w:p>
            <w:pPr>
              <w:jc w:val="both"/>
            </w:pPr>
            <w:r>
              <w:rPr>
                <w:sz w:val="21"/>
              </w:rPr>
              <w:t>6.</w:t>
            </w:r>
            <w:r>
              <w:rPr>
                <w:sz w:val="21"/>
              </w:rPr>
              <w:t>《深度学习技术应用》</w:t>
            </w:r>
          </w:p>
          <w:p>
            <w:pPr>
              <w:jc w:val="both"/>
            </w:pPr>
            <w:r>
              <w:rPr>
                <w:sz w:val="21"/>
              </w:rPr>
              <w:t>共64课时，案例资源包括：数据集、代码、实训指导书、课程PPT、课程视频等，课程案例介绍如下：课程内容包含Tensorflow实现服装图像分类、Tensorflow实现文本分类、迁移学习实现新冠肺炎X光检测、基于Flask的模型应用与部署、神经网络的语言处理、使用VGG19迁移学习实现图像风格迁移等深度学习技术应用相关知识点和项目化实验案例实操技能。</w:t>
            </w:r>
          </w:p>
          <w:p>
            <w:pPr>
              <w:jc w:val="both"/>
            </w:pPr>
            <w:r>
              <w:rPr>
                <w:sz w:val="21"/>
              </w:rPr>
              <w:t>7.</w:t>
            </w:r>
            <w:r>
              <w:rPr>
                <w:sz w:val="21"/>
              </w:rPr>
              <w:t>《计算机视觉技术应用》</w:t>
            </w:r>
          </w:p>
          <w:p>
            <w:pPr>
              <w:jc w:val="both"/>
            </w:pPr>
            <w:r>
              <w:rPr>
                <w:sz w:val="21"/>
              </w:rPr>
              <w:t>共64课时，案例资源包括：数据集、代码、实训指导书、课程PPT、课程视频等，课程案例介绍如下：</w:t>
            </w:r>
          </w:p>
          <w:p>
            <w:pPr>
              <w:jc w:val="both"/>
            </w:pPr>
            <w:r>
              <w:rPr>
                <w:sz w:val="21"/>
              </w:rPr>
              <w:t>课程内容包含手写数字图像处理、YOLO目标检测项目开发与部署实战、人脸口罩佩戴识别项目、中文自然场景文字检测及识别项目实战、手势识别之手势画图等计算机视觉应用相关知识点和项目化实验案例实操技能。</w:t>
            </w:r>
          </w:p>
          <w:p>
            <w:pPr>
              <w:jc w:val="both"/>
            </w:pPr>
            <w:r>
              <w:rPr>
                <w:sz w:val="21"/>
              </w:rPr>
              <w:t xml:space="preserve"> 8.</w:t>
            </w:r>
            <w:r>
              <w:rPr>
                <w:sz w:val="21"/>
              </w:rPr>
              <w:t>《自然语言处理技术与应用》</w:t>
            </w:r>
          </w:p>
          <w:p>
            <w:pPr>
              <w:jc w:val="both"/>
            </w:pPr>
            <w:r>
              <w:rPr>
                <w:sz w:val="21"/>
              </w:rPr>
              <w:t>共64课时，案例资源包括：数据集、代码、实训指导书、课程PPT、课程视频等，课程案例介绍如下：</w:t>
            </w:r>
          </w:p>
          <w:p>
            <w:pPr>
              <w:jc w:val="both"/>
            </w:pPr>
            <w:r>
              <w:rPr>
                <w:sz w:val="21"/>
              </w:rPr>
              <w:t>课程内容包含基础NLP、文本分类与聚类、情感分析、中文命名实体识别、机器翻译等自然语言处理相关知识点和项目化实验案例实操技能。</w:t>
            </w:r>
          </w:p>
          <w:p>
            <w:pPr>
              <w:jc w:val="both"/>
            </w:pPr>
            <w:r>
              <w:rPr>
                <w:sz w:val="21"/>
              </w:rPr>
              <w:t>9.</w:t>
            </w:r>
            <w:r>
              <w:rPr>
                <w:sz w:val="21"/>
              </w:rPr>
              <w:t>《人工智能训练师技师认证课程》</w:t>
            </w:r>
          </w:p>
          <w:p>
            <w:pPr>
              <w:jc w:val="both"/>
            </w:pPr>
            <w:r>
              <w:rPr>
                <w:sz w:val="21"/>
              </w:rPr>
              <w:t>（1）人工智能训练师二级（技师） 主要可从事业务流程设计和分析，人工智能算法训练和测试，智能系统产品设计等方向的工作。</w:t>
            </w:r>
          </w:p>
          <w:p>
            <w:pPr>
              <w:jc w:val="both"/>
            </w:pPr>
            <w:r>
              <w:rPr>
                <w:sz w:val="21"/>
              </w:rPr>
              <w:t>（2）课程共计40课时，项目包括：业务流程设计与业务场景挖掘、算法测试、智能训练流程优化、智能产品应用解决方案设计、产品功能设计及实现和培训与指导。</w:t>
            </w:r>
          </w:p>
          <w:p>
            <w:pPr>
              <w:jc w:val="both"/>
            </w:pPr>
            <w:r>
              <w:rPr>
                <w:sz w:val="21"/>
              </w:rPr>
              <w:t>（3）人工智能训练师配套试卷</w:t>
            </w:r>
          </w:p>
          <w:p>
            <w:pPr>
              <w:jc w:val="both"/>
            </w:pPr>
            <w:r>
              <w:rPr>
                <w:sz w:val="21"/>
              </w:rPr>
              <w:t>a.</w:t>
            </w:r>
            <w:r>
              <w:rPr>
                <w:sz w:val="21"/>
              </w:rPr>
              <w:t>人工智能训练师试卷围绕《人工智能训练师国家职业技能标准》中的职业功能、工作内容、技能要求以及相关知识要求进行编制。四、三、二级别配套1套试卷，总共3套试卷，方便学生进行练习，提高职业鉴定通过率，每套试卷包含理论题和实操题。</w:t>
            </w:r>
          </w:p>
          <w:p>
            <w:pPr>
              <w:jc w:val="both"/>
            </w:pPr>
            <w:r>
              <w:rPr>
                <w:sz w:val="21"/>
              </w:rPr>
              <w:t>b.</w:t>
            </w:r>
            <w:r>
              <w:rPr>
                <w:sz w:val="21"/>
              </w:rPr>
              <w:t>理论部分试题：中级工含单选题、判断题；高级工、技师含单选题、判断题、多选题；</w:t>
            </w:r>
          </w:p>
          <w:p>
            <w:pPr>
              <w:jc w:val="both"/>
            </w:pPr>
            <w:r>
              <w:rPr>
                <w:sz w:val="21"/>
              </w:rPr>
              <w:t>c.</w:t>
            </w:r>
            <w:r>
              <w:rPr>
                <w:sz w:val="21"/>
              </w:rPr>
              <w:t>实操部分试题：中级工满足120分钟实操考试要求；高级工、技师满足150分钟实操考试要求。</w:t>
            </w:r>
          </w:p>
          <w:p>
            <w:pPr>
              <w:jc w:val="both"/>
            </w:pPr>
            <w:r>
              <w:rPr>
                <w:sz w:val="21"/>
              </w:rPr>
              <w:t>10.</w:t>
            </w:r>
            <w:r>
              <w:rPr>
                <w:sz w:val="21"/>
              </w:rPr>
              <w:t>《机器学习技术应用》</w:t>
            </w:r>
          </w:p>
          <w:p>
            <w:pPr>
              <w:jc w:val="both"/>
            </w:pPr>
            <w:r>
              <w:rPr>
                <w:sz w:val="21"/>
              </w:rPr>
              <w:t>共64课时，案例资源包括：数据集、代码、实训指导书、课程PPT、课程视频等，课程案例介绍如下：</w:t>
            </w:r>
          </w:p>
          <w:p>
            <w:pPr>
              <w:jc w:val="both"/>
            </w:pPr>
            <w:r>
              <w:rPr>
                <w:sz w:val="21"/>
              </w:rPr>
              <w:t>课程内容包含数据分析、回归分析、身高与体重数据分析、鸢尾花分类、电影评分数据分析（聚类）、手写数字识别应用、电影数据分析等机器学习技术应用相关知识点和项目化实验案例实操技能。</w:t>
            </w:r>
          </w:p>
        </w:tc>
        <w:tc>
          <w:tcPr>
            <w:tcW w:type="dxa" w:w="488"/>
            <w:tcBorders>
              <w:top w:val="none" w:color="000000" w:sz="4"/>
              <w:left w:val="none" w:color="000000" w:sz="4"/>
              <w:bottom w:val="single" w:color="000000" w:sz="4"/>
              <w:right w:val="single" w:color="000000" w:sz="4"/>
            </w:tcBorders>
          </w:tcPr>
          <w:p>
            <w:pPr>
              <w:jc w:val="center"/>
            </w:pPr>
            <w:r>
              <w:rPr>
                <w:sz w:val="21"/>
              </w:rPr>
              <w:t>套</w:t>
            </w:r>
          </w:p>
        </w:tc>
        <w:tc>
          <w:tcPr>
            <w:tcW w:type="dxa" w:w="530"/>
            <w:tcBorders>
              <w:top w:val="none" w:color="000000" w:sz="4"/>
              <w:left w:val="none" w:color="000000" w:sz="4"/>
              <w:bottom w:val="single" w:color="000000" w:sz="4"/>
              <w:right w:val="single" w:color="000000" w:sz="4"/>
            </w:tcBorders>
          </w:tcPr>
          <w:p>
            <w:pPr>
              <w:jc w:val="center"/>
            </w:pPr>
            <w:r>
              <w:rPr>
                <w:sz w:val="21"/>
              </w:rPr>
              <w:t>1</w:t>
            </w:r>
          </w:p>
        </w:tc>
        <w:tc>
          <w:tcPr>
            <w:tcW w:type="dxa" w:w="628"/>
            <w:tcBorders>
              <w:top w:val="none" w:color="000000" w:sz="4"/>
              <w:left w:val="none" w:color="000000" w:sz="4"/>
              <w:bottom w:val="single" w:color="000000" w:sz="4"/>
              <w:right w:val="single" w:color="000000" w:sz="4"/>
            </w:tcBorders>
          </w:tcPr>
          <w:p>
            <w:pPr>
              <w:jc w:val="center"/>
            </w:pPr>
            <w:r>
              <w:rPr>
                <w:sz w:val="21"/>
              </w:rPr>
              <w:t>89.5</w:t>
            </w:r>
          </w:p>
        </w:tc>
        <w:tc>
          <w:tcPr>
            <w:tcW w:type="dxa" w:w="642"/>
            <w:tcBorders>
              <w:top w:val="none" w:color="000000" w:sz="4"/>
              <w:left w:val="none" w:color="000000" w:sz="4"/>
              <w:bottom w:val="single" w:color="000000" w:sz="4"/>
              <w:right w:val="single" w:color="000000" w:sz="4"/>
            </w:tcBorders>
          </w:tcPr>
          <w:p>
            <w:pPr>
              <w:jc w:val="center"/>
            </w:pPr>
            <w:r>
              <w:rPr>
                <w:b/>
                <w:sz w:val="21"/>
              </w:rPr>
              <w:t>89.5</w:t>
            </w:r>
          </w:p>
        </w:tc>
        <w:tc>
          <w:tcPr>
            <w:tcW w:type="dxa" w:w="432"/>
            <w:tcBorders>
              <w:top w:val="none" w:color="000000" w:sz="4"/>
              <w:left w:val="none" w:color="000000" w:sz="4"/>
              <w:bottom w:val="single" w:color="000000" w:sz="4"/>
              <w:right w:val="single" w:color="000000" w:sz="4"/>
            </w:tcBorders>
          </w:tcPr>
          <w:p>
            <w:pPr>
              <w:jc w:val="both"/>
            </w:pPr>
            <w:r>
              <w:rPr>
                <w:sz w:val="21"/>
              </w:rPr>
              <w:t>保修3年</w:t>
            </w:r>
          </w:p>
        </w:tc>
      </w:tr>
      <w:tr>
        <w:tc>
          <w:tcPr>
            <w:tcW w:type="dxa" w:w="418"/>
            <w:tcBorders>
              <w:top w:val="none" w:color="000000" w:sz="4"/>
              <w:left w:val="single" w:color="000000" w:sz="4"/>
              <w:bottom w:val="single" w:color="000000" w:sz="4"/>
              <w:right w:val="single" w:color="000000" w:sz="4"/>
            </w:tcBorders>
          </w:tcPr>
          <w:p>
            <w:pPr>
              <w:jc w:val="center"/>
            </w:pPr>
            <w:r>
              <w:rPr>
                <w:sz w:val="21"/>
              </w:rPr>
              <w:t>2</w:t>
            </w:r>
          </w:p>
        </w:tc>
        <w:tc>
          <w:tcPr>
            <w:tcW w:type="dxa" w:w="893"/>
            <w:tcBorders>
              <w:top w:val="none" w:color="000000" w:sz="4"/>
              <w:left w:val="none" w:color="000000" w:sz="4"/>
              <w:bottom w:val="single" w:color="000000" w:sz="4"/>
              <w:right w:val="single" w:color="000000" w:sz="4"/>
            </w:tcBorders>
          </w:tcPr>
          <w:p>
            <w:pPr>
              <w:jc w:val="center"/>
            </w:pPr>
            <w:r>
              <w:rPr>
                <w:b/>
                <w:sz w:val="21"/>
              </w:rPr>
              <w:t>人工智能计算机视觉实验平台</w:t>
            </w:r>
          </w:p>
        </w:tc>
        <w:tc>
          <w:tcPr>
            <w:tcW w:type="dxa" w:w="4285"/>
            <w:tcBorders>
              <w:top w:val="none" w:color="000000" w:sz="4"/>
              <w:left w:val="none" w:color="000000" w:sz="4"/>
              <w:bottom w:val="single" w:color="000000" w:sz="4"/>
              <w:right w:val="single" w:color="000000" w:sz="4"/>
            </w:tcBorders>
          </w:tcPr>
          <w:p>
            <w:pPr>
              <w:jc w:val="both"/>
            </w:pPr>
            <w:r>
              <w:rPr>
                <w:sz w:val="21"/>
              </w:rPr>
              <w:t>一、    人工智能计算机视觉实验平台功能要求：</w:t>
            </w:r>
          </w:p>
          <w:p>
            <w:pPr>
              <w:jc w:val="both"/>
            </w:pPr>
            <w:r>
              <w:rPr>
                <w:sz w:val="21"/>
              </w:rPr>
              <w:t>1.</w:t>
            </w:r>
            <w:r>
              <w:rPr>
                <w:sz w:val="21"/>
              </w:rPr>
              <w:t>实验平台为一体化教学实验平台，是以认知教学、技术教学、应用教学来展开学生多维度能力层次培养的教学解决方案。满足人工智能认知、基础应用开发等课程的实验教学。</w:t>
            </w:r>
            <w:r>
              <w:rPr>
                <w:sz w:val="21"/>
              </w:rPr>
              <w:t>需按要求设置不锈钢资产铭牌（铭牌大小：宽7cm、高4.3cm，不锈钢材质，内容定制）。</w:t>
            </w:r>
          </w:p>
          <w:p>
            <w:pPr>
              <w:jc w:val="both"/>
            </w:pPr>
            <w:r>
              <w:rPr>
                <w:sz w:val="21"/>
              </w:rPr>
              <w:t>2.</w:t>
            </w:r>
            <w:r>
              <w:rPr>
                <w:sz w:val="21"/>
              </w:rPr>
              <w:t>▲实验平台基于边缘计算框架设计，须具有单独AI计算加速能力，支持多sensor输入，具有POE受电的千兆网络。集成丰富的硬件接口，包括蓝牙/WIFI、5G、PCIE、扩展GPIO等接口，且须内置多种算法API（目标检测、人脸识别、人脸属性分析、车牌识别等）。</w:t>
            </w:r>
          </w:p>
          <w:p>
            <w:pPr>
              <w:jc w:val="both"/>
            </w:pPr>
            <w:r>
              <w:rPr>
                <w:sz w:val="21"/>
              </w:rPr>
              <w:t>二、    平台硬件资源</w:t>
            </w:r>
          </w:p>
          <w:p>
            <w:pPr>
              <w:jc w:val="both"/>
            </w:pPr>
            <w:r>
              <w:rPr>
                <w:sz w:val="21"/>
              </w:rPr>
              <w:t>1</w:t>
            </w:r>
            <w:r>
              <w:rPr>
                <w:sz w:val="21"/>
              </w:rPr>
              <w:t>． 边缘计算终端：</w:t>
            </w:r>
          </w:p>
          <w:p>
            <w:pPr>
              <w:jc w:val="both"/>
            </w:pPr>
            <w:r>
              <w:rPr>
                <w:sz w:val="21"/>
              </w:rPr>
              <w:t>1</w:t>
            </w:r>
            <w:r>
              <w:rPr>
                <w:sz w:val="21"/>
              </w:rPr>
              <w:t>）▲    终端内置高性能处理器，处理器不少于五核,其中须包含不低于双核ARM CortexA72芯片，GPU处理器数量不少于双核。（请提供佐证图片）</w:t>
            </w:r>
          </w:p>
          <w:p>
            <w:pPr>
              <w:jc w:val="both"/>
            </w:pPr>
            <w:r>
              <w:rPr>
                <w:sz w:val="21"/>
              </w:rPr>
              <w:t>2</w:t>
            </w:r>
            <w:r>
              <w:rPr>
                <w:sz w:val="21"/>
              </w:rPr>
              <w:t>） 终端须内置AI加速处理单元，主频不低于840MHz,运算能力不低于3.0TFLOPS。</w:t>
            </w:r>
          </w:p>
          <w:p>
            <w:pPr>
              <w:jc w:val="both"/>
            </w:pPr>
            <w:r>
              <w:rPr>
                <w:sz w:val="21"/>
              </w:rPr>
              <w:t>3</w:t>
            </w:r>
            <w:r>
              <w:rPr>
                <w:sz w:val="21"/>
              </w:rPr>
              <w:t>） 终端搭载内存≥4GB DDR4。</w:t>
            </w:r>
          </w:p>
          <w:p>
            <w:pPr>
              <w:jc w:val="both"/>
            </w:pPr>
            <w:r>
              <w:rPr>
                <w:sz w:val="21"/>
              </w:rPr>
              <w:t>4</w:t>
            </w:r>
            <w:r>
              <w:rPr>
                <w:sz w:val="21"/>
              </w:rPr>
              <w:t>） 终端搭载Emmc5.1存储器，存储≥32GB。</w:t>
            </w:r>
          </w:p>
          <w:p>
            <w:pPr>
              <w:jc w:val="both"/>
            </w:pPr>
            <w:r>
              <w:rPr>
                <w:sz w:val="21"/>
              </w:rPr>
              <w:t>5</w:t>
            </w:r>
            <w:r>
              <w:rPr>
                <w:sz w:val="21"/>
              </w:rPr>
              <w:t>） 无线单元：</w:t>
            </w:r>
          </w:p>
          <w:p>
            <w:pPr>
              <w:jc w:val="both"/>
            </w:pPr>
            <w:r>
              <w:rPr>
                <w:sz w:val="21"/>
              </w:rPr>
              <w:t xml:space="preserve">a) </w:t>
            </w:r>
            <w:r>
              <w:rPr>
                <w:sz w:val="21"/>
              </w:rPr>
              <w:t>内置单频2.4G Wi-Fi模组，BLE4.2模组，支持Wi-Fi、BLE传感网设备接入。</w:t>
            </w:r>
          </w:p>
          <w:p>
            <w:pPr>
              <w:jc w:val="both"/>
            </w:pPr>
            <w:r>
              <w:rPr>
                <w:sz w:val="21"/>
              </w:rPr>
              <w:t xml:space="preserve">b) </w:t>
            </w:r>
            <w:r>
              <w:rPr>
                <w:sz w:val="21"/>
              </w:rPr>
              <w:t>可扩展配置全网通4G模组，支持LTE-FDD,LTE-TDD, DC-HSDPA,HSPA+, HSDPA,HSUPA,WCDMA,TD-SCDMA,CDMA,EDGE和 GPRS等多种网络制式，支持LTE传感网设备接入。</w:t>
            </w:r>
          </w:p>
          <w:p>
            <w:pPr>
              <w:jc w:val="both"/>
            </w:pPr>
            <w:r>
              <w:rPr>
                <w:sz w:val="21"/>
              </w:rPr>
              <w:t xml:space="preserve">c) </w:t>
            </w:r>
            <w:r>
              <w:rPr>
                <w:sz w:val="21"/>
              </w:rPr>
              <w:t>内置PCIE2.0接口。</w:t>
            </w:r>
          </w:p>
          <w:p>
            <w:pPr>
              <w:jc w:val="both"/>
            </w:pPr>
            <w:r>
              <w:rPr>
                <w:sz w:val="21"/>
              </w:rPr>
              <w:t>6</w:t>
            </w:r>
            <w:r>
              <w:rPr>
                <w:sz w:val="21"/>
              </w:rPr>
              <w:t>） 外设接口：</w:t>
            </w:r>
          </w:p>
          <w:p>
            <w:pPr>
              <w:jc w:val="both"/>
            </w:pPr>
            <w:r>
              <w:rPr>
                <w:sz w:val="21"/>
              </w:rPr>
              <w:t xml:space="preserve">a) </w:t>
            </w:r>
            <w:r>
              <w:rPr>
                <w:sz w:val="21"/>
              </w:rPr>
              <w:t>千兆以太网口，须支持POE受电。</w:t>
            </w:r>
          </w:p>
          <w:p>
            <w:pPr>
              <w:jc w:val="both"/>
            </w:pPr>
            <w:r>
              <w:rPr>
                <w:sz w:val="21"/>
              </w:rPr>
              <w:t xml:space="preserve">b) </w:t>
            </w:r>
            <w:r>
              <w:rPr>
                <w:sz w:val="21"/>
              </w:rPr>
              <w:t>不少于3个的USB 3.0 HOST的TYPE-A接口。</w:t>
            </w:r>
          </w:p>
          <w:p>
            <w:pPr>
              <w:jc w:val="both"/>
            </w:pPr>
            <w:r>
              <w:rPr>
                <w:sz w:val="21"/>
              </w:rPr>
              <w:t xml:space="preserve">c) </w:t>
            </w:r>
            <w:r>
              <w:rPr>
                <w:sz w:val="21"/>
              </w:rPr>
              <w:t>提供3.5mm音频输入输出接口。</w:t>
            </w:r>
          </w:p>
          <w:p>
            <w:pPr>
              <w:jc w:val="both"/>
            </w:pPr>
            <w:r>
              <w:rPr>
                <w:sz w:val="21"/>
              </w:rPr>
              <w:t xml:space="preserve">d) </w:t>
            </w:r>
            <w:r>
              <w:rPr>
                <w:sz w:val="21"/>
              </w:rPr>
              <w:t>提供至少支持1路MIPI CSI接口，至少支持8路视频接入。</w:t>
            </w:r>
          </w:p>
          <w:p>
            <w:pPr>
              <w:jc w:val="both"/>
            </w:pPr>
            <w:r>
              <w:rPr>
                <w:sz w:val="21"/>
              </w:rPr>
              <w:t xml:space="preserve">e) </w:t>
            </w:r>
            <w:r>
              <w:rPr>
                <w:sz w:val="21"/>
              </w:rPr>
              <w:t>提供HDMI2.0视频输出接口，输出最大支持4K@60fps。</w:t>
            </w:r>
          </w:p>
          <w:p>
            <w:pPr>
              <w:jc w:val="both"/>
            </w:pPr>
            <w:r>
              <w:rPr>
                <w:sz w:val="21"/>
              </w:rPr>
              <w:t xml:space="preserve">f) </w:t>
            </w:r>
            <w:r>
              <w:rPr>
                <w:sz w:val="21"/>
              </w:rPr>
              <w:t>提供串行接口：支持RS232和RS485接入方式, 支持Micro USB的U转调试串口。</w:t>
            </w:r>
          </w:p>
          <w:p>
            <w:pPr>
              <w:jc w:val="both"/>
            </w:pPr>
            <w:r>
              <w:rPr>
                <w:sz w:val="21"/>
              </w:rPr>
              <w:t xml:space="preserve">g) </w:t>
            </w:r>
            <w:r>
              <w:rPr>
                <w:sz w:val="21"/>
              </w:rPr>
              <w:t>提供40PIN板载扩展，可接不少于1*I2S、2*I2C、ADC1_CHO、ADC1_CH1、1*PWM、2*SPI，支持中断编程。</w:t>
            </w:r>
          </w:p>
          <w:p>
            <w:pPr>
              <w:jc w:val="both"/>
            </w:pPr>
            <w:r>
              <w:rPr>
                <w:sz w:val="21"/>
              </w:rPr>
              <w:t>2</w:t>
            </w:r>
            <w:r>
              <w:rPr>
                <w:sz w:val="21"/>
              </w:rPr>
              <w:t>． 触摸显示屏：</w:t>
            </w:r>
          </w:p>
          <w:p>
            <w:pPr>
              <w:jc w:val="both"/>
            </w:pPr>
            <w:r>
              <w:rPr>
                <w:sz w:val="21"/>
              </w:rPr>
              <w:t xml:space="preserve">1) </w:t>
            </w:r>
            <w:r>
              <w:rPr>
                <w:sz w:val="21"/>
              </w:rPr>
              <w:t>搭载不低于10寸IPS屏，支持多点触控电容屏。</w:t>
            </w:r>
          </w:p>
          <w:p>
            <w:pPr>
              <w:jc w:val="both"/>
            </w:pPr>
            <w:r>
              <w:rPr>
                <w:sz w:val="21"/>
              </w:rPr>
              <w:t xml:space="preserve">2) </w:t>
            </w:r>
            <w:r>
              <w:rPr>
                <w:sz w:val="21"/>
              </w:rPr>
              <w:t>提供178°水平可视角度。</w:t>
            </w:r>
          </w:p>
          <w:p>
            <w:pPr>
              <w:jc w:val="both"/>
            </w:pPr>
            <w:r>
              <w:rPr>
                <w:sz w:val="21"/>
              </w:rPr>
              <w:t xml:space="preserve">3) </w:t>
            </w:r>
            <w:r>
              <w:rPr>
                <w:sz w:val="21"/>
              </w:rPr>
              <w:t>提供350cd/㎡显示亮度。</w:t>
            </w:r>
          </w:p>
          <w:p>
            <w:pPr>
              <w:jc w:val="both"/>
            </w:pPr>
            <w:r>
              <w:rPr>
                <w:sz w:val="21"/>
              </w:rPr>
              <w:t xml:space="preserve">4) </w:t>
            </w:r>
            <w:r>
              <w:rPr>
                <w:sz w:val="21"/>
              </w:rPr>
              <w:t>提供800：1（动态）的对比度。</w:t>
            </w:r>
          </w:p>
          <w:p>
            <w:pPr>
              <w:jc w:val="both"/>
            </w:pPr>
            <w:r>
              <w:rPr>
                <w:sz w:val="21"/>
              </w:rPr>
              <w:t xml:space="preserve">5) </w:t>
            </w:r>
            <w:r>
              <w:rPr>
                <w:sz w:val="21"/>
              </w:rPr>
              <w:t>内置音箱HDR。</w:t>
            </w:r>
          </w:p>
          <w:p>
            <w:pPr>
              <w:jc w:val="both"/>
            </w:pPr>
            <w:r>
              <w:rPr>
                <w:sz w:val="21"/>
              </w:rPr>
              <w:t xml:space="preserve">6) </w:t>
            </w:r>
            <w:r>
              <w:rPr>
                <w:sz w:val="21"/>
              </w:rPr>
              <w:t>工业级铝合金屏外壳。</w:t>
            </w:r>
          </w:p>
          <w:p>
            <w:pPr>
              <w:jc w:val="both"/>
            </w:pPr>
            <w:r>
              <w:rPr>
                <w:sz w:val="21"/>
              </w:rPr>
              <w:t>3</w:t>
            </w:r>
            <w:r>
              <w:rPr>
                <w:sz w:val="21"/>
              </w:rPr>
              <w:t>． 扩展模块：</w:t>
            </w:r>
          </w:p>
          <w:p>
            <w:pPr>
              <w:jc w:val="both"/>
            </w:pPr>
            <w:r>
              <w:rPr>
                <w:sz w:val="21"/>
              </w:rPr>
              <w:t xml:space="preserve">1) </w:t>
            </w:r>
            <w:r>
              <w:rPr>
                <w:sz w:val="21"/>
              </w:rPr>
              <w:t>高清摄像头模块：</w:t>
            </w:r>
          </w:p>
          <w:p>
            <w:pPr>
              <w:jc w:val="both"/>
            </w:pPr>
            <w:r>
              <w:rPr>
                <w:sz w:val="21"/>
              </w:rPr>
              <w:t xml:space="preserve">a) </w:t>
            </w:r>
            <w:r>
              <w:rPr>
                <w:sz w:val="21"/>
              </w:rPr>
              <w:t>模块须搭载不低于800万像素工业级无畸变摄像头。</w:t>
            </w:r>
          </w:p>
          <w:p>
            <w:pPr>
              <w:jc w:val="both"/>
            </w:pPr>
            <w:r>
              <w:rPr>
                <w:sz w:val="21"/>
              </w:rPr>
              <w:t xml:space="preserve">b) </w:t>
            </w:r>
            <w:r>
              <w:rPr>
                <w:sz w:val="21"/>
              </w:rPr>
              <w:t>模块支持自动曝光控制AEC，支持自动增益控制AGC，支持自动白平衡。</w:t>
            </w:r>
          </w:p>
          <w:p>
            <w:pPr>
              <w:jc w:val="both"/>
            </w:pPr>
            <w:r>
              <w:rPr>
                <w:sz w:val="21"/>
              </w:rPr>
              <w:t xml:space="preserve">c) </w:t>
            </w:r>
            <w:r>
              <w:rPr>
                <w:sz w:val="21"/>
              </w:rPr>
              <w:t>支持自动对焦功能。</w:t>
            </w:r>
          </w:p>
          <w:p>
            <w:pPr>
              <w:jc w:val="both"/>
            </w:pPr>
            <w:r>
              <w:rPr>
                <w:sz w:val="21"/>
              </w:rPr>
              <w:t xml:space="preserve">2) </w:t>
            </w:r>
            <w:r>
              <w:rPr>
                <w:sz w:val="21"/>
              </w:rPr>
              <w:t>图像识别实验模块</w:t>
            </w:r>
          </w:p>
          <w:p>
            <w:pPr>
              <w:jc w:val="both"/>
            </w:pPr>
            <w:r>
              <w:rPr>
                <w:sz w:val="21"/>
              </w:rPr>
              <w:t xml:space="preserve">a) </w:t>
            </w:r>
            <w:r>
              <w:rPr>
                <w:sz w:val="21"/>
              </w:rPr>
              <w:t>模块须配备不低于2个人偶模型。</w:t>
            </w:r>
          </w:p>
          <w:p>
            <w:pPr>
              <w:jc w:val="both"/>
            </w:pPr>
            <w:r>
              <w:rPr>
                <w:sz w:val="21"/>
              </w:rPr>
              <w:t xml:space="preserve">b) </w:t>
            </w:r>
            <w:r>
              <w:rPr>
                <w:sz w:val="21"/>
              </w:rPr>
              <w:t>模块须配备不低于3种动物种类模型，至少包括猫、奶牛、狗动物。</w:t>
            </w:r>
          </w:p>
          <w:p>
            <w:pPr>
              <w:jc w:val="both"/>
            </w:pPr>
            <w:r>
              <w:rPr>
                <w:sz w:val="21"/>
              </w:rPr>
              <w:t xml:space="preserve">c) </w:t>
            </w:r>
            <w:r>
              <w:rPr>
                <w:sz w:val="21"/>
              </w:rPr>
              <w:t>模块须配备不低于2种水果模型，至少包括苹果和香蕉。</w:t>
            </w:r>
          </w:p>
          <w:p>
            <w:pPr>
              <w:jc w:val="both"/>
            </w:pPr>
            <w:r>
              <w:rPr>
                <w:sz w:val="21"/>
              </w:rPr>
              <w:t xml:space="preserve">d) </w:t>
            </w:r>
            <w:r>
              <w:rPr>
                <w:sz w:val="21"/>
              </w:rPr>
              <w:t>模块须配备不低于2种交通工具模型，至少包括汽车和摩托车。</w:t>
            </w:r>
          </w:p>
          <w:p>
            <w:pPr>
              <w:jc w:val="both"/>
            </w:pPr>
            <w:r>
              <w:rPr>
                <w:sz w:val="21"/>
              </w:rPr>
              <w:t>3)  IOT</w:t>
            </w:r>
            <w:r>
              <w:rPr>
                <w:sz w:val="21"/>
              </w:rPr>
              <w:t>实验模块</w:t>
            </w:r>
          </w:p>
          <w:p>
            <w:pPr>
              <w:jc w:val="both"/>
            </w:pPr>
            <w:r>
              <w:rPr>
                <w:sz w:val="21"/>
              </w:rPr>
              <w:t xml:space="preserve">a) </w:t>
            </w:r>
            <w:r>
              <w:rPr>
                <w:sz w:val="21"/>
              </w:rPr>
              <w:t>实验模块须配备工业级数字量I/O模块，支持不低于7个通道采集输入和不低于8个通道控制输出。</w:t>
            </w:r>
          </w:p>
          <w:p>
            <w:pPr>
              <w:jc w:val="both"/>
            </w:pPr>
            <w:r>
              <w:rPr>
                <w:sz w:val="21"/>
              </w:rPr>
              <w:t xml:space="preserve">b) </w:t>
            </w:r>
            <w:r>
              <w:rPr>
                <w:sz w:val="21"/>
              </w:rPr>
              <w:t>实验模块须配置工业级485型光照度采集模块，测量响应时间不高于1秒/每次，测量精准度不高于±3％FS。</w:t>
            </w:r>
          </w:p>
          <w:p>
            <w:pPr>
              <w:jc w:val="both"/>
            </w:pPr>
            <w:r>
              <w:rPr>
                <w:sz w:val="21"/>
              </w:rPr>
              <w:t xml:space="preserve">c) </w:t>
            </w:r>
            <w:r>
              <w:rPr>
                <w:sz w:val="21"/>
              </w:rPr>
              <w:t>实验模块须配置带轰鸣器的警示灯，支持红、黄、绿三色单独开关控制，闪光频率不低于63times/min不高于65 times/min 。</w:t>
            </w:r>
          </w:p>
          <w:p>
            <w:pPr>
              <w:jc w:val="both"/>
            </w:pPr>
            <w:r>
              <w:rPr>
                <w:sz w:val="21"/>
              </w:rPr>
              <w:t xml:space="preserve">d) </w:t>
            </w:r>
            <w:r>
              <w:rPr>
                <w:sz w:val="21"/>
              </w:rPr>
              <w:t>实验模块须配置被动式红外热释放的人体红外传感器。</w:t>
            </w:r>
          </w:p>
          <w:p>
            <w:pPr>
              <w:jc w:val="both"/>
            </w:pPr>
            <w:r>
              <w:rPr>
                <w:sz w:val="21"/>
              </w:rPr>
              <w:t xml:space="preserve">e) </w:t>
            </w:r>
            <w:r>
              <w:rPr>
                <w:sz w:val="21"/>
              </w:rPr>
              <w:t>实验模块须配置可长时间通电的门锁模块，锁舌行程7mm，锁舌吸力不高于0.5N（50g）。</w:t>
            </w:r>
          </w:p>
          <w:p>
            <w:pPr>
              <w:jc w:val="both"/>
            </w:pPr>
            <w:r>
              <w:rPr>
                <w:sz w:val="21"/>
              </w:rPr>
              <w:t xml:space="preserve">f) </w:t>
            </w:r>
            <w:r>
              <w:rPr>
                <w:sz w:val="21"/>
              </w:rPr>
              <w:t>实验模块须配置可长时间通电的带气氛灯的小风扇模块。</w:t>
            </w:r>
          </w:p>
          <w:p>
            <w:pPr>
              <w:jc w:val="both"/>
            </w:pPr>
            <w:r>
              <w:rPr>
                <w:sz w:val="21"/>
              </w:rPr>
              <w:t xml:space="preserve">g) </w:t>
            </w:r>
            <w:r>
              <w:rPr>
                <w:sz w:val="21"/>
              </w:rPr>
              <w:t>实验模须配置不低于2组的4路继电器，支持高/底电平触发。</w:t>
            </w:r>
          </w:p>
          <w:p>
            <w:pPr>
              <w:jc w:val="both"/>
            </w:pPr>
            <w:r>
              <w:rPr>
                <w:sz w:val="21"/>
              </w:rPr>
              <w:t xml:space="preserve">4) </w:t>
            </w:r>
            <w:r>
              <w:rPr>
                <w:sz w:val="21"/>
              </w:rPr>
              <w:t>语音采集播放设备</w:t>
            </w:r>
          </w:p>
          <w:p>
            <w:pPr>
              <w:jc w:val="left"/>
            </w:pPr>
            <w:r>
              <w:rPr>
                <w:sz w:val="21"/>
              </w:rPr>
              <w:t>a)  LED</w:t>
            </w:r>
            <w:r>
              <w:rPr>
                <w:sz w:val="21"/>
              </w:rPr>
              <w:t>指示灯：须支持无亮待机及通话模式；</w:t>
            </w:r>
          </w:p>
          <w:p>
            <w:pPr>
              <w:jc w:val="left"/>
            </w:pPr>
            <w:r>
              <w:rPr>
                <w:sz w:val="21"/>
              </w:rPr>
              <w:t xml:space="preserve">b) </w:t>
            </w:r>
            <w:r>
              <w:rPr>
                <w:sz w:val="21"/>
              </w:rPr>
              <w:t>绿灯须表示静音模式；</w:t>
            </w:r>
          </w:p>
          <w:p>
            <w:pPr>
              <w:jc w:val="left"/>
            </w:pPr>
            <w:r>
              <w:rPr>
                <w:sz w:val="21"/>
              </w:rPr>
              <w:t xml:space="preserve">c) </w:t>
            </w:r>
            <w:r>
              <w:rPr>
                <w:sz w:val="21"/>
              </w:rPr>
              <w:t>声音功能 ：声音取样频率不低于32KHz；</w:t>
            </w:r>
          </w:p>
          <w:p>
            <w:pPr>
              <w:jc w:val="left"/>
            </w:pPr>
            <w:r>
              <w:rPr>
                <w:sz w:val="21"/>
              </w:rPr>
              <w:t xml:space="preserve">d) </w:t>
            </w:r>
            <w:r>
              <w:rPr>
                <w:sz w:val="21"/>
              </w:rPr>
              <w:t>通讯模式：须支持全双工同时对谈；</w:t>
            </w:r>
          </w:p>
          <w:p>
            <w:pPr>
              <w:jc w:val="left"/>
            </w:pPr>
            <w:r>
              <w:rPr>
                <w:sz w:val="21"/>
              </w:rPr>
              <w:t xml:space="preserve">e) </w:t>
            </w:r>
            <w:r>
              <w:rPr>
                <w:sz w:val="21"/>
              </w:rPr>
              <w:t>回音消除：不低于58dB；</w:t>
            </w:r>
          </w:p>
          <w:p>
            <w:pPr>
              <w:jc w:val="left"/>
            </w:pPr>
            <w:r>
              <w:rPr>
                <w:sz w:val="21"/>
              </w:rPr>
              <w:t xml:space="preserve">f) </w:t>
            </w:r>
            <w:r>
              <w:rPr>
                <w:sz w:val="21"/>
              </w:rPr>
              <w:t>须支持AGC(音频自动增益控制）功能；</w:t>
            </w:r>
          </w:p>
          <w:p>
            <w:pPr>
              <w:jc w:val="left"/>
            </w:pPr>
            <w:r>
              <w:rPr>
                <w:sz w:val="21"/>
              </w:rPr>
              <w:t xml:space="preserve">g) </w:t>
            </w:r>
            <w:r>
              <w:rPr>
                <w:sz w:val="21"/>
              </w:rPr>
              <w:t>麦克风须支持全指向；</w:t>
            </w:r>
          </w:p>
          <w:p>
            <w:pPr>
              <w:jc w:val="both"/>
            </w:pPr>
            <w:r>
              <w:rPr>
                <w:sz w:val="21"/>
              </w:rPr>
              <w:t xml:space="preserve">5) </w:t>
            </w:r>
            <w:r>
              <w:rPr>
                <w:sz w:val="21"/>
              </w:rPr>
              <w:t>实验器材收纳模块</w:t>
            </w:r>
          </w:p>
          <w:p>
            <w:pPr>
              <w:ind w:firstLine="420"/>
              <w:jc w:val="both"/>
            </w:pPr>
            <w:r>
              <w:rPr>
                <w:sz w:val="21"/>
              </w:rPr>
              <w:t>模块须配置具有防震、防摔、收纳功能的收纳箱，支持IP67防水防尘，支持耐温最低到-10℃最高到80℃。</w:t>
            </w:r>
          </w:p>
          <w:p>
            <w:pPr>
              <w:jc w:val="both"/>
            </w:pPr>
            <w:r>
              <w:rPr>
                <w:sz w:val="21"/>
              </w:rPr>
              <w:t>三、    平台软件资源：</w:t>
            </w:r>
          </w:p>
          <w:p>
            <w:pPr>
              <w:jc w:val="both"/>
            </w:pPr>
            <w:r>
              <w:rPr>
                <w:sz w:val="21"/>
              </w:rPr>
              <w:t>1</w:t>
            </w:r>
            <w:r>
              <w:rPr>
                <w:sz w:val="21"/>
              </w:rPr>
              <w:t>、 操作系统：</w:t>
            </w:r>
          </w:p>
          <w:p>
            <w:pPr>
              <w:jc w:val="both"/>
            </w:pPr>
            <w:r>
              <w:rPr>
                <w:sz w:val="21"/>
              </w:rPr>
              <w:t xml:space="preserve">1) </w:t>
            </w:r>
            <w:r>
              <w:rPr>
                <w:sz w:val="21"/>
              </w:rPr>
              <w:t>边缘计算终端须支持linux嵌入式操作系统，满足嵌入式操作系统教学。</w:t>
            </w:r>
          </w:p>
          <w:p>
            <w:pPr>
              <w:jc w:val="both"/>
            </w:pPr>
            <w:r>
              <w:rPr>
                <w:sz w:val="21"/>
              </w:rPr>
              <w:t xml:space="preserve">2) </w:t>
            </w:r>
            <w:r>
              <w:rPr>
                <w:sz w:val="21"/>
              </w:rPr>
              <w:t>边缘计算终端须支持ROS系统，满足柔性仿真机械手、机器车系统教学。</w:t>
            </w:r>
          </w:p>
          <w:p>
            <w:pPr>
              <w:jc w:val="both"/>
            </w:pPr>
            <w:r>
              <w:rPr>
                <w:sz w:val="21"/>
              </w:rPr>
              <w:t xml:space="preserve">3) </w:t>
            </w:r>
            <w:r>
              <w:rPr>
                <w:sz w:val="21"/>
              </w:rPr>
              <w:t>边缘计算终端须内置Python3.5以上板本的运行环境，满足Python  的AI教学。</w:t>
            </w:r>
          </w:p>
          <w:p>
            <w:pPr>
              <w:jc w:val="both"/>
            </w:pPr>
            <w:r>
              <w:rPr>
                <w:sz w:val="21"/>
              </w:rPr>
              <w:t xml:space="preserve">4) </w:t>
            </w:r>
            <w:r>
              <w:rPr>
                <w:sz w:val="21"/>
              </w:rPr>
              <w:t>边缘计算终端须内置QT、PYQT5的运行环境，满足AI的可视化教学。</w:t>
            </w:r>
          </w:p>
          <w:p>
            <w:pPr>
              <w:jc w:val="both"/>
            </w:pPr>
            <w:r>
              <w:rPr>
                <w:sz w:val="21"/>
              </w:rPr>
              <w:t xml:space="preserve">5) </w:t>
            </w:r>
            <w:r>
              <w:rPr>
                <w:sz w:val="21"/>
              </w:rPr>
              <w:t>边缘计算终端须内置语音识别、语音合成、语音播报的离线SDK，满足AI的语音技术应用教学。</w:t>
            </w:r>
          </w:p>
          <w:p>
            <w:pPr>
              <w:jc w:val="both"/>
            </w:pPr>
            <w:r>
              <w:rPr>
                <w:sz w:val="21"/>
              </w:rPr>
              <w:t xml:space="preserve">6) </w:t>
            </w:r>
            <w:r>
              <w:rPr>
                <w:sz w:val="21"/>
              </w:rPr>
              <w:t>边缘计算终端内置的AI算法至少包括目标检测、人脸识别、车牌识别、车位检测、人脸多属性分析、人体骨骼关键点检测，满足AI的基础应用与开发教学。（提供操作演示视频）</w:t>
            </w:r>
          </w:p>
          <w:p>
            <w:pPr>
              <w:jc w:val="both"/>
            </w:pPr>
            <w:r>
              <w:rPr>
                <w:sz w:val="21"/>
              </w:rPr>
              <w:t xml:space="preserve">7) </w:t>
            </w:r>
            <w:r>
              <w:rPr>
                <w:sz w:val="21"/>
              </w:rPr>
              <w:t>边缘计算终端须内置人脸多属性分析算法，具有不少于2个维度的分析结果，比如（表情、是否佩戴眼镜、是否佩戴口罩、年龄、性别）；（提供操作演示视频）</w:t>
            </w:r>
          </w:p>
          <w:p>
            <w:pPr>
              <w:jc w:val="both"/>
            </w:pPr>
            <w:r>
              <w:rPr>
                <w:sz w:val="21"/>
              </w:rPr>
              <w:t xml:space="preserve">8) </w:t>
            </w:r>
            <w:r>
              <w:rPr>
                <w:sz w:val="21"/>
              </w:rPr>
              <w:t>边缘计算终端须内置人体骨骼关键点检测算法，具有不少于16个关键点的检测。（提供操作演示视频）</w:t>
            </w:r>
          </w:p>
          <w:p>
            <w:pPr>
              <w:jc w:val="both"/>
            </w:pPr>
            <w:r>
              <w:rPr>
                <w:sz w:val="21"/>
              </w:rPr>
              <w:t>2</w:t>
            </w:r>
            <w:r>
              <w:rPr>
                <w:sz w:val="21"/>
              </w:rPr>
              <w:t>、 端侧应用软件：</w:t>
            </w:r>
          </w:p>
          <w:p>
            <w:pPr>
              <w:jc w:val="both"/>
            </w:pPr>
            <w:r>
              <w:rPr>
                <w:sz w:val="21"/>
              </w:rPr>
              <w:t xml:space="preserve">1) </w:t>
            </w:r>
            <w:r>
              <w:rPr>
                <w:sz w:val="21"/>
              </w:rPr>
              <w:t>应用软件具有不少于5个内置AI算法应用，程序界面应包括摄像头调用、图像采集、算法调用、结果呈现等功能与代码对照教学演示，可展开关键技术分解教学。在认知和关键步骤上进行实际操作，满足AI的通识教学（提供操作演示视频）。展开的内置AI算法应用至包括物品分类识别、物品目标检测、人脸识别、车牌车别和人脸属性识别。</w:t>
            </w:r>
          </w:p>
          <w:p>
            <w:pPr>
              <w:jc w:val="both"/>
            </w:pPr>
            <w:r>
              <w:rPr>
                <w:sz w:val="21"/>
              </w:rPr>
              <w:t xml:space="preserve">2) </w:t>
            </w:r>
            <w:r>
              <w:rPr>
                <w:sz w:val="21"/>
              </w:rPr>
              <w:t>应用系统应不少于3个人工智能综合项目案例，满足AI行业应用实验教学。</w:t>
            </w:r>
          </w:p>
          <w:p>
            <w:pPr>
              <w:jc w:val="both"/>
            </w:pPr>
            <w:r>
              <w:rPr>
                <w:sz w:val="21"/>
              </w:rPr>
              <w:t xml:space="preserve">3) </w:t>
            </w:r>
            <w:r>
              <w:rPr>
                <w:sz w:val="21"/>
              </w:rPr>
              <w:t>应用系统满足通过语音识别、语音合成实现智能语音控制与播报。</w:t>
            </w:r>
          </w:p>
          <w:p>
            <w:pPr>
              <w:jc w:val="both"/>
            </w:pPr>
          </w:p>
          <w:p>
            <w:pPr>
              <w:jc w:val="both"/>
            </w:pPr>
            <w:r>
              <w:rPr>
                <w:sz w:val="21"/>
              </w:rPr>
              <w:t>四、    平台课程资源</w:t>
            </w:r>
          </w:p>
          <w:p>
            <w:pPr>
              <w:jc w:val="both"/>
            </w:pPr>
            <w:r>
              <w:rPr>
                <w:sz w:val="21"/>
              </w:rPr>
              <w:t>1</w:t>
            </w:r>
            <w:r>
              <w:rPr>
                <w:sz w:val="21"/>
              </w:rPr>
              <w:t>、《嵌入式人工智能技术应用》</w:t>
            </w:r>
          </w:p>
          <w:p>
            <w:pPr>
              <w:ind w:firstLine="210"/>
              <w:jc w:val="both"/>
            </w:pPr>
            <w:r>
              <w:rPr>
                <w:sz w:val="21"/>
              </w:rPr>
              <w:t>教学资源须配套《嵌入式人工智能技术应用》课程实训指导手册、教学PPT、教学视频、案例源码及数据集等内容。</w:t>
            </w:r>
          </w:p>
          <w:p>
            <w:pPr>
              <w:ind w:firstLine="630"/>
              <w:jc w:val="both"/>
            </w:pPr>
            <w:r>
              <w:rPr>
                <w:sz w:val="21"/>
              </w:rPr>
              <w:t>1</w:t>
            </w:r>
            <w:r>
              <w:rPr>
                <w:sz w:val="21"/>
              </w:rPr>
              <w:t>）需满足不低于64课时教学。</w:t>
            </w:r>
          </w:p>
          <w:p>
            <w:pPr>
              <w:ind w:firstLine="210"/>
              <w:jc w:val="both"/>
            </w:pPr>
            <w:r>
              <w:rPr>
                <w:sz w:val="21"/>
              </w:rPr>
              <w:t>2</w:t>
            </w:r>
            <w:r>
              <w:rPr>
                <w:sz w:val="21"/>
              </w:rPr>
              <w:t>）符合项目式教学模式，每个项目围绕某一领域工作任务或知识点开展，每个项目中包含2-4个实操任务，每个实操任务满足约2个课时的实操教学。</w:t>
            </w:r>
          </w:p>
          <w:p>
            <w:pPr>
              <w:ind w:firstLine="210"/>
              <w:jc w:val="both"/>
            </w:pPr>
            <w:r>
              <w:rPr>
                <w:sz w:val="21"/>
              </w:rPr>
              <w:t>3</w:t>
            </w:r>
            <w:r>
              <w:rPr>
                <w:sz w:val="21"/>
              </w:rPr>
              <w:t>）提供不低于16份实训指导手册，每份实训指导手册匹配一项实操任务，若该实操任务采用JupyterNotebook方式开展，该实训指导手册可以.ipynb格式文件提供，若不是，可以word或pdf格式文件提供。</w:t>
            </w:r>
          </w:p>
          <w:p>
            <w:pPr>
              <w:ind w:firstLine="210"/>
              <w:jc w:val="both"/>
            </w:pPr>
            <w:r>
              <w:rPr>
                <w:sz w:val="21"/>
              </w:rPr>
              <w:t>4</w:t>
            </w:r>
            <w:r>
              <w:rPr>
                <w:sz w:val="21"/>
              </w:rPr>
              <w:t>）提供不低于16份教学视频，对实操任务的教学过程进行讲解，讲解过程清晰，涵盖实操任务完整过程。</w:t>
            </w:r>
          </w:p>
          <w:p>
            <w:pPr>
              <w:ind w:firstLine="210"/>
              <w:jc w:val="both"/>
            </w:pPr>
            <w:r>
              <w:rPr>
                <w:sz w:val="21"/>
              </w:rPr>
              <w:t>5</w:t>
            </w:r>
            <w:r>
              <w:rPr>
                <w:sz w:val="21"/>
              </w:rPr>
              <w:t>）提供不低于16份教学PPT。根据教学内容配套，教学课件内容须贴合实际教学。</w:t>
            </w:r>
          </w:p>
          <w:p>
            <w:pPr>
              <w:ind w:firstLine="210"/>
              <w:jc w:val="both"/>
            </w:pPr>
            <w:r>
              <w:rPr>
                <w:sz w:val="21"/>
              </w:rPr>
              <w:t>6</w:t>
            </w:r>
            <w:r>
              <w:rPr>
                <w:sz w:val="21"/>
              </w:rPr>
              <w:t>）提供相关案例源码及数据集文件。</w:t>
            </w:r>
          </w:p>
          <w:p>
            <w:pPr>
              <w:ind w:firstLine="210"/>
              <w:jc w:val="both"/>
            </w:pPr>
            <w:r>
              <w:rPr>
                <w:sz w:val="21"/>
              </w:rPr>
              <w:t>7</w:t>
            </w:r>
            <w:r>
              <w:rPr>
                <w:sz w:val="21"/>
              </w:rPr>
              <w:t>）教学资源内容须涵盖但不限于以下内容：</w:t>
            </w:r>
          </w:p>
          <w:p>
            <w:pPr>
              <w:jc w:val="both"/>
            </w:pPr>
            <w:r>
              <w:rPr>
                <w:sz w:val="21"/>
              </w:rPr>
              <w:t>使用OpenCV实现人脸检测、使用计算机视觉算法实现图像识别、利用串口实现边缘硬件控制、基于人脸检测算法实现家用设备的控制、基于计算机视觉技术实现稻麦监测系统、基于语音识别实现智能家居控制、基于人脸属性检测的疫情防控应用开发。</w:t>
            </w:r>
          </w:p>
          <w:p>
            <w:pPr>
              <w:jc w:val="both"/>
            </w:pPr>
            <w:r>
              <w:rPr>
                <w:sz w:val="21"/>
              </w:rPr>
              <w:t>2</w:t>
            </w:r>
            <w:r>
              <w:rPr>
                <w:sz w:val="21"/>
              </w:rPr>
              <w:t>、《边缘智能计算应用》</w:t>
            </w:r>
          </w:p>
          <w:p>
            <w:pPr>
              <w:jc w:val="both"/>
            </w:pPr>
            <w:r>
              <w:rPr>
                <w:sz w:val="21"/>
              </w:rPr>
              <w:t>教学资源须配套《边缘智能计算应用》课程实训指导手册、教学PPT、教学视频、案例源码及数据集等内容。</w:t>
            </w:r>
          </w:p>
          <w:p>
            <w:pPr>
              <w:jc w:val="both"/>
            </w:pPr>
            <w:r>
              <w:rPr>
                <w:sz w:val="21"/>
              </w:rPr>
              <w:t xml:space="preserve">1) </w:t>
            </w:r>
            <w:r>
              <w:rPr>
                <w:sz w:val="21"/>
              </w:rPr>
              <w:t>需满足不低于64课时教学。</w:t>
            </w:r>
          </w:p>
          <w:p>
            <w:pPr>
              <w:jc w:val="both"/>
            </w:pPr>
            <w:r>
              <w:rPr>
                <w:sz w:val="21"/>
              </w:rPr>
              <w:t xml:space="preserve">2) </w:t>
            </w:r>
            <w:r>
              <w:rPr>
                <w:sz w:val="21"/>
              </w:rPr>
              <w:t>符合项目式教学模式，每个项目围绕某一领域工作任务或知识点开展，每个项目中包含2-4个实操任务，每个实操任务满足约2个课时的实操教学。</w:t>
            </w:r>
          </w:p>
          <w:p>
            <w:pPr>
              <w:jc w:val="both"/>
            </w:pPr>
            <w:r>
              <w:rPr>
                <w:sz w:val="21"/>
              </w:rPr>
              <w:t xml:space="preserve">3) </w:t>
            </w:r>
            <w:r>
              <w:rPr>
                <w:sz w:val="21"/>
              </w:rPr>
              <w:t>提供不低于14份实训指导手册，每份实训指导手册匹配一项实操任务，若该实操任务采用JupyterNotebook方式开展，该实训指导手册可以.ipynb格式文件提供，若不是，可以word或pdf格式文件提供。</w:t>
            </w:r>
          </w:p>
          <w:p>
            <w:pPr>
              <w:jc w:val="both"/>
            </w:pPr>
            <w:r>
              <w:rPr>
                <w:sz w:val="21"/>
              </w:rPr>
              <w:t xml:space="preserve">4) </w:t>
            </w:r>
            <w:r>
              <w:rPr>
                <w:sz w:val="21"/>
              </w:rPr>
              <w:t>提供不低于14份教学视频，对实操任务的教学过程进行讲解，讲解过程清晰，涵盖实操任务完整过程。</w:t>
            </w:r>
          </w:p>
          <w:p>
            <w:pPr>
              <w:jc w:val="both"/>
            </w:pPr>
            <w:r>
              <w:rPr>
                <w:sz w:val="21"/>
              </w:rPr>
              <w:t xml:space="preserve">5) </w:t>
            </w:r>
            <w:r>
              <w:rPr>
                <w:sz w:val="21"/>
              </w:rPr>
              <w:t>提供不低于14份教学PPT。根据教学内容配套，教学课件内容须贴合实际教学。</w:t>
            </w:r>
          </w:p>
          <w:p>
            <w:pPr>
              <w:jc w:val="both"/>
            </w:pPr>
            <w:r>
              <w:rPr>
                <w:sz w:val="21"/>
              </w:rPr>
              <w:t xml:space="preserve">6) </w:t>
            </w:r>
            <w:r>
              <w:rPr>
                <w:sz w:val="21"/>
              </w:rPr>
              <w:t>提供相关案例源码及数据集文件。</w:t>
            </w:r>
          </w:p>
          <w:p>
            <w:pPr>
              <w:jc w:val="both"/>
            </w:pPr>
            <w:r>
              <w:rPr>
                <w:sz w:val="21"/>
              </w:rPr>
              <w:t xml:space="preserve">7) </w:t>
            </w:r>
            <w:r>
              <w:rPr>
                <w:sz w:val="21"/>
              </w:rPr>
              <w:t>教学资源内容须涵盖但不限于以下内容：</w:t>
            </w:r>
          </w:p>
          <w:p>
            <w:pPr>
              <w:jc w:val="both"/>
            </w:pPr>
            <w:r>
              <w:rPr>
                <w:sz w:val="21"/>
              </w:rPr>
              <w:t>a.</w:t>
            </w:r>
            <w:r>
              <w:rPr>
                <w:sz w:val="21"/>
              </w:rPr>
              <w:t>边缘计算开发板基础应用：NLE-AI800开发板介绍及应用案例体验、基于OpenCV的USB摄像头的使用。</w:t>
            </w:r>
          </w:p>
          <w:p>
            <w:pPr>
              <w:jc w:val="both"/>
            </w:pPr>
            <w:r>
              <w:rPr>
                <w:sz w:val="21"/>
              </w:rPr>
              <w:t>b.</w:t>
            </w:r>
            <w:r>
              <w:rPr>
                <w:sz w:val="21"/>
              </w:rPr>
              <w:t>边缘计算算法SDK应用（基于RockX）：目标检测算法接口应用、人脸识别算法接口应用、人体关键点算法接口应用、车牌识别算法接口应用。</w:t>
            </w:r>
          </w:p>
          <w:p>
            <w:pPr>
              <w:jc w:val="both"/>
            </w:pPr>
            <w:r>
              <w:rPr>
                <w:sz w:val="21"/>
              </w:rPr>
              <w:t>c.</w:t>
            </w:r>
            <w:r>
              <w:rPr>
                <w:sz w:val="21"/>
              </w:rPr>
              <w:t>基于TensorFlow的图像上色模型部署：基于TensorFlow的图像彩色化、TensorFlow模型转RKNN模型并进行预测。</w:t>
            </w:r>
          </w:p>
          <w:p>
            <w:pPr>
              <w:jc w:val="both"/>
            </w:pPr>
            <w:r>
              <w:rPr>
                <w:sz w:val="21"/>
              </w:rPr>
              <w:t>d.</w:t>
            </w:r>
            <w:r>
              <w:rPr>
                <w:sz w:val="21"/>
              </w:rPr>
              <w:t>基于Pytorch目标检测模型部署：基于Pytorch的YOLOv5模型训练及转换、ONNX模型文件转RKNN模型文件、基于YOLOv5的实时检测模型部署。</w:t>
            </w:r>
          </w:p>
          <w:p>
            <w:pPr>
              <w:jc w:val="both"/>
            </w:pPr>
            <w:r>
              <w:rPr>
                <w:sz w:val="21"/>
              </w:rPr>
              <w:t>e.</w:t>
            </w:r>
            <w:r>
              <w:rPr>
                <w:sz w:val="21"/>
              </w:rPr>
              <w:t>基于TFLite的手掌检测模型部署：基于Mediapipe的手势识别模型转换、基于RKNN模型的手掌检测、边缘端手掌检测应用的部署和运行。</w:t>
            </w:r>
          </w:p>
        </w:tc>
        <w:tc>
          <w:tcPr>
            <w:tcW w:type="dxa" w:w="488"/>
            <w:tcBorders>
              <w:top w:val="none" w:color="000000" w:sz="4"/>
              <w:left w:val="none" w:color="000000" w:sz="4"/>
              <w:bottom w:val="single" w:color="000000" w:sz="4"/>
              <w:right w:val="single" w:color="000000" w:sz="4"/>
            </w:tcBorders>
          </w:tcPr>
          <w:p>
            <w:pPr>
              <w:jc w:val="center"/>
            </w:pPr>
            <w:r>
              <w:rPr>
                <w:sz w:val="21"/>
              </w:rPr>
              <w:t>套</w:t>
            </w:r>
          </w:p>
        </w:tc>
        <w:tc>
          <w:tcPr>
            <w:tcW w:type="dxa" w:w="530"/>
            <w:tcBorders>
              <w:top w:val="none" w:color="000000" w:sz="4"/>
              <w:left w:val="none" w:color="000000" w:sz="4"/>
              <w:bottom w:val="single" w:color="000000" w:sz="4"/>
              <w:right w:val="single" w:color="000000" w:sz="4"/>
            </w:tcBorders>
          </w:tcPr>
          <w:p>
            <w:pPr>
              <w:jc w:val="center"/>
            </w:pPr>
            <w:r>
              <w:rPr>
                <w:sz w:val="21"/>
              </w:rPr>
              <w:t>30</w:t>
            </w:r>
          </w:p>
        </w:tc>
        <w:tc>
          <w:tcPr>
            <w:tcW w:type="dxa" w:w="628"/>
            <w:tcBorders>
              <w:top w:val="none" w:color="000000" w:sz="4"/>
              <w:left w:val="none" w:color="000000" w:sz="4"/>
              <w:bottom w:val="single" w:color="000000" w:sz="4"/>
              <w:right w:val="single" w:color="000000" w:sz="4"/>
            </w:tcBorders>
          </w:tcPr>
          <w:p>
            <w:pPr>
              <w:jc w:val="center"/>
            </w:pPr>
            <w:r>
              <w:rPr>
                <w:sz w:val="21"/>
              </w:rPr>
              <w:t>4.2</w:t>
            </w:r>
          </w:p>
        </w:tc>
        <w:tc>
          <w:tcPr>
            <w:tcW w:type="dxa" w:w="642"/>
            <w:tcBorders>
              <w:top w:val="none" w:color="000000" w:sz="4"/>
              <w:left w:val="none" w:color="000000" w:sz="4"/>
              <w:bottom w:val="single" w:color="000000" w:sz="4"/>
              <w:right w:val="single" w:color="000000" w:sz="4"/>
            </w:tcBorders>
          </w:tcPr>
          <w:p>
            <w:pPr>
              <w:jc w:val="center"/>
            </w:pPr>
            <w:r>
              <w:rPr>
                <w:b/>
                <w:sz w:val="21"/>
              </w:rPr>
              <w:t>126</w:t>
            </w:r>
          </w:p>
        </w:tc>
        <w:tc>
          <w:tcPr>
            <w:tcW w:type="dxa" w:w="432"/>
            <w:tcBorders>
              <w:top w:val="none" w:color="000000" w:sz="4"/>
              <w:left w:val="none" w:color="000000" w:sz="4"/>
              <w:bottom w:val="single" w:color="000000" w:sz="4"/>
              <w:right w:val="single" w:color="000000" w:sz="4"/>
            </w:tcBorders>
          </w:tcPr>
          <w:p>
            <w:pPr>
              <w:jc w:val="both"/>
            </w:pPr>
            <w:r>
              <w:rPr>
                <w:sz w:val="21"/>
              </w:rPr>
              <w:t>保修3年</w:t>
            </w:r>
          </w:p>
        </w:tc>
      </w:tr>
      <w:tr>
        <w:tc>
          <w:tcPr>
            <w:tcW w:type="dxa" w:w="418"/>
            <w:tcBorders>
              <w:top w:val="none" w:color="000000" w:sz="4"/>
              <w:left w:val="single" w:color="000000" w:sz="4"/>
              <w:bottom w:val="single" w:color="000000" w:sz="4"/>
              <w:right w:val="single" w:color="000000" w:sz="4"/>
            </w:tcBorders>
          </w:tcPr>
          <w:p>
            <w:pPr>
              <w:jc w:val="center"/>
            </w:pPr>
            <w:r>
              <w:rPr>
                <w:sz w:val="21"/>
              </w:rPr>
              <w:t>3</w:t>
            </w:r>
          </w:p>
        </w:tc>
        <w:tc>
          <w:tcPr>
            <w:tcW w:type="dxa" w:w="893"/>
            <w:tcBorders>
              <w:top w:val="none" w:color="000000" w:sz="4"/>
              <w:left w:val="none" w:color="000000" w:sz="4"/>
              <w:bottom w:val="single" w:color="000000" w:sz="4"/>
              <w:right w:val="single" w:color="000000" w:sz="4"/>
            </w:tcBorders>
          </w:tcPr>
          <w:p>
            <w:pPr>
              <w:jc w:val="center"/>
            </w:pPr>
            <w:r>
              <w:rPr>
                <w:b/>
                <w:sz w:val="21"/>
              </w:rPr>
              <w:t>移动机器人实训平台</w:t>
            </w:r>
          </w:p>
        </w:tc>
        <w:tc>
          <w:tcPr>
            <w:tcW w:type="dxa" w:w="4285"/>
            <w:tcBorders>
              <w:top w:val="none" w:color="000000" w:sz="4"/>
              <w:left w:val="none" w:color="000000" w:sz="4"/>
              <w:bottom w:val="single" w:color="000000" w:sz="4"/>
              <w:right w:val="single" w:color="000000" w:sz="4"/>
            </w:tcBorders>
          </w:tcPr>
          <w:p>
            <w:pPr>
              <w:ind w:firstLine="420"/>
              <w:jc w:val="left"/>
            </w:pPr>
            <w:r>
              <w:rPr>
                <w:sz w:val="21"/>
              </w:rPr>
              <w:t>移动机器人实训平台</w:t>
            </w:r>
            <w:r>
              <w:rPr>
                <w:sz w:val="21"/>
              </w:rPr>
              <w:t>需按要求设置不锈钢资产铭牌（铭牌大小：宽7cm、高4.3cm，不锈钢材质，内容定制）。</w:t>
            </w:r>
          </w:p>
          <w:p>
            <w:pPr>
              <w:jc w:val="left"/>
            </w:pPr>
            <w:r>
              <w:rPr>
                <w:sz w:val="21"/>
              </w:rPr>
              <w:t>1.</w:t>
            </w:r>
            <w:r>
              <w:rPr>
                <w:sz w:val="21"/>
              </w:rPr>
              <w:t>硬件搭载NVIDIA Jeston Nano、激光雷达、深度相机等高性能传感器配置，集四种运动模态于一体的ROS开发平台，提供了适应场景更广泛、更符合行业应用要求的学习平台，适用于人工智能教育、机器人教育。通过创新性的机械设计，能实现四轮差速、阿克曼、履带型、麦克纳姆轮运动模式的快速切换，可在配套的专业沙盘中快速建立多场景教学和测试。</w:t>
            </w:r>
          </w:p>
          <w:p>
            <w:pPr>
              <w:jc w:val="left"/>
            </w:pPr>
            <w:r>
              <w:rPr>
                <w:sz w:val="21"/>
              </w:rPr>
              <w:t>2.</w:t>
            </w:r>
            <w:r>
              <w:rPr>
                <w:sz w:val="21"/>
              </w:rPr>
              <w:t>提供小车沙盘跑道(2.4 x 2.1m）、升降杆、红绿灯、树模型、上下坡组件、沙盘挡板。</w:t>
            </w:r>
          </w:p>
          <w:p>
            <w:pPr>
              <w:jc w:val="left"/>
            </w:pPr>
            <w:r>
              <w:rPr>
                <w:sz w:val="21"/>
              </w:rPr>
              <w:t>3.</w:t>
            </w:r>
            <w:r>
              <w:rPr>
                <w:sz w:val="21"/>
              </w:rPr>
              <w:t>软件上配套创动控制实验系统包含实现精确的自主定位、SLAM建图、路线规划和自主避障、自主倒车入库、红绿灯识别等丰富功能，同时Nano AI核心开发板配套Jupyter教学实验平台、数据标注工具、实验数据集。</w:t>
            </w:r>
          </w:p>
          <w:p>
            <w:pPr>
              <w:jc w:val="left"/>
            </w:pPr>
            <w:r>
              <w:rPr>
                <w:sz w:val="21"/>
              </w:rPr>
              <w:t>4.</w:t>
            </w:r>
            <w:r>
              <w:rPr>
                <w:sz w:val="21"/>
              </w:rPr>
              <w:t>提供教学资源包含《移动机器人技术应用》实训案例，提供了ROS与移动机器人控制基础、基于深度学习的图像分类和目标检测、机器人视觉感知模块、定位与导航模块、机器人语音模块、自动驾驶综合实践等教学内容，共计48课时。</w:t>
            </w:r>
          </w:p>
        </w:tc>
        <w:tc>
          <w:tcPr>
            <w:tcW w:type="dxa" w:w="488"/>
            <w:tcBorders>
              <w:top w:val="none" w:color="000000" w:sz="4"/>
              <w:left w:val="none" w:color="000000" w:sz="4"/>
              <w:bottom w:val="single" w:color="000000" w:sz="4"/>
              <w:right w:val="single" w:color="000000" w:sz="4"/>
            </w:tcBorders>
          </w:tcPr>
          <w:p>
            <w:pPr>
              <w:jc w:val="center"/>
            </w:pPr>
            <w:r>
              <w:rPr>
                <w:sz w:val="21"/>
              </w:rPr>
              <w:t>套</w:t>
            </w:r>
          </w:p>
        </w:tc>
        <w:tc>
          <w:tcPr>
            <w:tcW w:type="dxa" w:w="530"/>
            <w:tcBorders>
              <w:top w:val="none" w:color="000000" w:sz="4"/>
              <w:left w:val="none" w:color="000000" w:sz="4"/>
              <w:bottom w:val="single" w:color="000000" w:sz="4"/>
              <w:right w:val="single" w:color="000000" w:sz="4"/>
            </w:tcBorders>
          </w:tcPr>
          <w:p>
            <w:pPr>
              <w:jc w:val="center"/>
            </w:pPr>
            <w:r>
              <w:rPr>
                <w:sz w:val="21"/>
              </w:rPr>
              <w:t>2</w:t>
            </w:r>
          </w:p>
        </w:tc>
        <w:tc>
          <w:tcPr>
            <w:tcW w:type="dxa" w:w="628"/>
            <w:tcBorders>
              <w:top w:val="none" w:color="000000" w:sz="4"/>
              <w:left w:val="none" w:color="000000" w:sz="4"/>
              <w:bottom w:val="single" w:color="000000" w:sz="4"/>
              <w:right w:val="single" w:color="000000" w:sz="4"/>
            </w:tcBorders>
          </w:tcPr>
          <w:p>
            <w:pPr>
              <w:jc w:val="center"/>
            </w:pPr>
            <w:r>
              <w:rPr>
                <w:sz w:val="21"/>
              </w:rPr>
              <w:t>3.9</w:t>
            </w:r>
          </w:p>
        </w:tc>
        <w:tc>
          <w:tcPr>
            <w:tcW w:type="dxa" w:w="642"/>
            <w:tcBorders>
              <w:top w:val="none" w:color="000000" w:sz="4"/>
              <w:left w:val="none" w:color="000000" w:sz="4"/>
              <w:bottom w:val="single" w:color="000000" w:sz="4"/>
              <w:right w:val="single" w:color="000000" w:sz="4"/>
            </w:tcBorders>
          </w:tcPr>
          <w:p>
            <w:pPr>
              <w:jc w:val="center"/>
            </w:pPr>
            <w:r>
              <w:rPr>
                <w:b/>
                <w:sz w:val="21"/>
              </w:rPr>
              <w:t>7.8</w:t>
            </w:r>
          </w:p>
        </w:tc>
        <w:tc>
          <w:tcPr>
            <w:tcW w:type="dxa" w:w="432"/>
            <w:tcBorders>
              <w:top w:val="none" w:color="000000" w:sz="4"/>
              <w:left w:val="none" w:color="000000" w:sz="4"/>
              <w:bottom w:val="single" w:color="000000" w:sz="4"/>
              <w:right w:val="single" w:color="000000" w:sz="4"/>
            </w:tcBorders>
          </w:tcPr>
          <w:p>
            <w:pPr>
              <w:jc w:val="both"/>
            </w:pPr>
            <w:r>
              <w:rPr>
                <w:sz w:val="21"/>
              </w:rPr>
              <w:t>保修3年</w:t>
            </w:r>
          </w:p>
        </w:tc>
      </w:tr>
      <w:tr>
        <w:tc>
          <w:tcPr>
            <w:tcW w:type="dxa" w:w="418"/>
            <w:tcBorders>
              <w:top w:val="none" w:color="000000" w:sz="4"/>
              <w:left w:val="single" w:color="000000" w:sz="4"/>
              <w:bottom w:val="single" w:color="000000" w:sz="4"/>
              <w:right w:val="single" w:color="000000" w:sz="4"/>
            </w:tcBorders>
          </w:tcPr>
          <w:p>
            <w:pPr>
              <w:jc w:val="center"/>
            </w:pPr>
            <w:r>
              <w:rPr>
                <w:sz w:val="21"/>
              </w:rPr>
              <w:t>4</w:t>
            </w:r>
          </w:p>
        </w:tc>
        <w:tc>
          <w:tcPr>
            <w:tcW w:type="dxa" w:w="893"/>
            <w:tcBorders>
              <w:top w:val="none" w:color="000000" w:sz="4"/>
              <w:left w:val="none" w:color="000000" w:sz="4"/>
              <w:bottom w:val="single" w:color="000000" w:sz="4"/>
              <w:right w:val="single" w:color="000000" w:sz="4"/>
            </w:tcBorders>
          </w:tcPr>
          <w:p>
            <w:pPr>
              <w:jc w:val="center"/>
            </w:pPr>
            <w:r>
              <w:rPr>
                <w:b/>
                <w:sz w:val="21"/>
              </w:rPr>
              <w:t>集成管理平台</w:t>
            </w:r>
          </w:p>
        </w:tc>
        <w:tc>
          <w:tcPr>
            <w:tcW w:type="dxa" w:w="4285"/>
            <w:tcBorders>
              <w:top w:val="none" w:color="000000" w:sz="4"/>
              <w:left w:val="none" w:color="000000" w:sz="4"/>
              <w:bottom w:val="single" w:color="000000" w:sz="4"/>
              <w:right w:val="single" w:color="000000" w:sz="4"/>
            </w:tcBorders>
          </w:tcPr>
          <w:p>
            <w:pPr>
              <w:ind w:firstLine="420"/>
              <w:jc w:val="left"/>
            </w:pPr>
            <w:r>
              <w:rPr>
                <w:sz w:val="21"/>
              </w:rPr>
              <w:t>集成管理平台需按要求设置不锈钢资产铭牌（铭牌大小：宽7cm、高4.3cm，不锈钢材质，内容定制）。</w:t>
            </w:r>
          </w:p>
          <w:p>
            <w:pPr>
              <w:jc w:val="left"/>
            </w:pPr>
            <w:r>
              <w:rPr>
                <w:sz w:val="21"/>
              </w:rPr>
              <w:t>双人实训平台:</w:t>
            </w:r>
          </w:p>
          <w:p>
            <w:pPr>
              <w:jc w:val="left"/>
            </w:pPr>
            <w:r>
              <w:rPr>
                <w:sz w:val="21"/>
              </w:rPr>
              <w:t>1</w:t>
            </w:r>
            <w:r>
              <w:rPr>
                <w:sz w:val="21"/>
              </w:rPr>
              <w:t>、桌子*1：不小于1400长*750宽*760高mm；</w:t>
            </w:r>
          </w:p>
          <w:p>
            <w:pPr>
              <w:jc w:val="left"/>
            </w:pPr>
            <w:r>
              <w:rPr>
                <w:sz w:val="21"/>
              </w:rPr>
              <w:t>2</w:t>
            </w:r>
            <w:r>
              <w:rPr>
                <w:sz w:val="21"/>
              </w:rPr>
              <w:t xml:space="preserve">、贴面板材：优质三聚氰胺板，具有、防污、防酸、防碱；                                     </w:t>
            </w:r>
          </w:p>
          <w:p>
            <w:pPr>
              <w:jc w:val="left"/>
            </w:pPr>
            <w:r>
              <w:rPr>
                <w:sz w:val="21"/>
              </w:rPr>
              <w:t>3</w:t>
            </w:r>
            <w:r>
              <w:rPr>
                <w:sz w:val="21"/>
              </w:rPr>
              <w:t>、基材：采用E1级优质板材，绿色环保产品；</w:t>
            </w:r>
          </w:p>
          <w:p>
            <w:pPr>
              <w:jc w:val="left"/>
            </w:pPr>
            <w:r>
              <w:rPr>
                <w:sz w:val="21"/>
              </w:rPr>
              <w:t>4.</w:t>
            </w:r>
            <w:r>
              <w:rPr>
                <w:sz w:val="21"/>
              </w:rPr>
              <w:t>五金配件：采用五金配件，坚固耐用；</w:t>
            </w:r>
          </w:p>
          <w:p>
            <w:pPr>
              <w:jc w:val="left"/>
            </w:pPr>
            <w:r>
              <w:rPr>
                <w:sz w:val="21"/>
              </w:rPr>
              <w:t>5.</w:t>
            </w:r>
            <w:r>
              <w:rPr>
                <w:sz w:val="21"/>
              </w:rPr>
              <w:t>封边：采用与板材同色，具有一定的耐热，耐化学品，耐腐蚀性；</w:t>
            </w:r>
          </w:p>
          <w:p>
            <w:pPr>
              <w:jc w:val="left"/>
            </w:pPr>
            <w:r>
              <w:rPr>
                <w:sz w:val="21"/>
              </w:rPr>
              <w:t>6.</w:t>
            </w:r>
            <w:r>
              <w:rPr>
                <w:sz w:val="21"/>
              </w:rPr>
              <w:t>钢架：管壁厚度1.0MM，经冲压，焊接，打磨成型，表面经酸洗磷化，高温炉工等工序处理。配置一体式主机置放架。</w:t>
            </w:r>
          </w:p>
          <w:p>
            <w:pPr>
              <w:jc w:val="both"/>
            </w:pPr>
            <w:r>
              <w:rPr>
                <w:sz w:val="21"/>
              </w:rPr>
              <w:t>集成平台:</w:t>
            </w:r>
          </w:p>
          <w:p>
            <w:pPr>
              <w:jc w:val="both"/>
            </w:pPr>
            <w:r>
              <w:rPr>
                <w:sz w:val="21"/>
              </w:rPr>
              <w:t>1.</w:t>
            </w:r>
            <w:r>
              <w:rPr>
                <w:sz w:val="21"/>
              </w:rPr>
              <w:t>外形尺寸：不小于1400mm* 730mm*950mm</w:t>
            </w:r>
          </w:p>
          <w:p>
            <w:pPr>
              <w:jc w:val="both"/>
            </w:pPr>
            <w:r>
              <w:rPr>
                <w:sz w:val="21"/>
              </w:rPr>
              <w:t>2.</w:t>
            </w:r>
            <w:r>
              <w:rPr>
                <w:sz w:val="21"/>
              </w:rPr>
              <w:t>产品材料：全部采用1.0-1.5精装冷轧钢板</w:t>
            </w:r>
          </w:p>
          <w:p>
            <w:pPr>
              <w:jc w:val="both"/>
            </w:pPr>
            <w:r>
              <w:rPr>
                <w:sz w:val="21"/>
              </w:rPr>
              <w:t>3.</w:t>
            </w:r>
            <w:r>
              <w:rPr>
                <w:sz w:val="21"/>
              </w:rPr>
              <w:t>表面处理：经酸洗、磷化、防腐、防锈处理后静电喷塑,塑面经久耐用,颜色用户自选</w:t>
            </w:r>
          </w:p>
          <w:p>
            <w:pPr>
              <w:jc w:val="both"/>
            </w:pPr>
            <w:r>
              <w:rPr>
                <w:sz w:val="21"/>
              </w:rPr>
              <w:t>4</w:t>
            </w:r>
            <w:r>
              <w:rPr>
                <w:sz w:val="21"/>
              </w:rPr>
              <w:t>．结构：后下方有活动门,检修设备更方便。</w:t>
            </w:r>
          </w:p>
          <w:p>
            <w:pPr>
              <w:jc w:val="both"/>
            </w:pPr>
            <w:r>
              <w:rPr>
                <w:sz w:val="21"/>
              </w:rPr>
              <w:t>显示屏:</w:t>
            </w:r>
          </w:p>
          <w:p>
            <w:pPr>
              <w:jc w:val="left"/>
            </w:pPr>
            <w:r>
              <w:rPr>
                <w:sz w:val="21"/>
              </w:rPr>
              <w:t>1.</w:t>
            </w:r>
            <w:r>
              <w:rPr>
                <w:sz w:val="21"/>
              </w:rPr>
              <w:t>整机需采用一体化拼接设计，外部无任何可见内部功能模块的连接线；采用FV-0级阻燃材质外壳，边角采用弧形设计，表面无尖锐边缘或凸起；前置接口边缘无棱角、无毛刺。</w:t>
            </w:r>
          </w:p>
          <w:p>
            <w:pPr>
              <w:jc w:val="left"/>
            </w:pPr>
            <w:r>
              <w:rPr>
                <w:sz w:val="21"/>
              </w:rPr>
              <w:t>2.</w:t>
            </w:r>
            <w:r>
              <w:rPr>
                <w:sz w:val="21"/>
              </w:rPr>
              <w:t>屏幕尺寸不小于86英寸，屏幕显示分辨率最高可支持≥3840×2160，向下兼容支持2048×1080、1920×1080等多种分辨率。</w:t>
            </w:r>
          </w:p>
          <w:p>
            <w:pPr>
              <w:jc w:val="left"/>
            </w:pPr>
            <w:r>
              <w:rPr>
                <w:sz w:val="21"/>
              </w:rPr>
              <w:t>3.</w:t>
            </w:r>
            <w:r>
              <w:rPr>
                <w:sz w:val="21"/>
              </w:rPr>
              <w:t>液晶屏需采用A级或以上屏幕，屏幕对比度不小于4000:1，亮度不小于450cd/㎡，可视角度不小于178°，响应速度不大于8ms。</w:t>
            </w:r>
          </w:p>
          <w:p>
            <w:pPr>
              <w:jc w:val="left"/>
            </w:pPr>
            <w:r>
              <w:rPr>
                <w:sz w:val="21"/>
              </w:rPr>
              <w:t>4.</w:t>
            </w:r>
            <w:r>
              <w:rPr>
                <w:sz w:val="21"/>
              </w:rPr>
              <w:t>要求采用电容触控技术，在Android、Windows双系统下均支持≥20点触控，触摸书写延迟≤15ms，书写精度≤1mm。</w:t>
            </w:r>
          </w:p>
          <w:p>
            <w:pPr>
              <w:jc w:val="left"/>
            </w:pPr>
            <w:r>
              <w:rPr>
                <w:sz w:val="21"/>
              </w:rPr>
              <w:t>5.</w:t>
            </w:r>
            <w:r>
              <w:rPr>
                <w:sz w:val="21"/>
              </w:rPr>
              <w:t>整机厚度小于70mm，中间区域为LED液晶显示屏幕。</w:t>
            </w:r>
          </w:p>
          <w:p>
            <w:pPr>
              <w:jc w:val="left"/>
            </w:pPr>
            <w:r>
              <w:rPr>
                <w:sz w:val="21"/>
              </w:rPr>
              <w:t>6.</w:t>
            </w:r>
            <w:r>
              <w:rPr>
                <w:sz w:val="21"/>
              </w:rPr>
              <w:t>整机需支持外接信号输入时自动唤醒功能，整机处于关机通电状态，外接电脑显示信号通过HDMI传输线连接至整机时，整机可智能识别并自动开机。</w:t>
            </w:r>
          </w:p>
          <w:p>
            <w:pPr>
              <w:jc w:val="left"/>
            </w:pPr>
            <w:r>
              <w:rPr>
                <w:sz w:val="21"/>
              </w:rPr>
              <w:t>7.</w:t>
            </w:r>
            <w:r>
              <w:rPr>
                <w:sz w:val="21"/>
              </w:rPr>
              <w:t>产品需内置扬声器,额定总功率不低于60W；需支持单独听功能，在关闭显示部分的情况下可播放音频，通过按键可点亮屏幕。</w:t>
            </w:r>
          </w:p>
          <w:p>
            <w:pPr>
              <w:jc w:val="left"/>
            </w:pPr>
            <w:r>
              <w:rPr>
                <w:sz w:val="21"/>
              </w:rPr>
              <w:t>8.</w:t>
            </w:r>
            <w:r>
              <w:rPr>
                <w:sz w:val="21"/>
              </w:rPr>
              <w:t>设备在任意信号下，需支持通过多指按压屏幕实现对屏幕的开关，多指实现黑板背光的关闭与开启，触控功能与传统书写功能瞬间切换，切换响应速度≤2s。需支持物理按键、虚拟按键实现节能熄屏/唤醒，并可与多指熄屏功能互通互用。</w:t>
            </w:r>
          </w:p>
          <w:p>
            <w:pPr>
              <w:jc w:val="left"/>
            </w:pPr>
            <w:r>
              <w:rPr>
                <w:sz w:val="21"/>
              </w:rPr>
              <w:t>9.</w:t>
            </w:r>
            <w:r>
              <w:rPr>
                <w:sz w:val="21"/>
              </w:rPr>
              <w:t>设备需支持悬浮菜单功能，至少包含输入源选择、截屏、下拉等功能，并可自定义功能菜单；需支持任意通道下无需点击物理按键，可随时调用计算器、日历等小工具，并支持拖拽及关闭；需支持三指罗盘跟随功能，可通过三指调用此触摸悬浮菜单到屏幕任意位置。</w:t>
            </w:r>
          </w:p>
          <w:p>
            <w:pPr>
              <w:jc w:val="left"/>
            </w:pPr>
            <w:r>
              <w:rPr>
                <w:sz w:val="21"/>
              </w:rPr>
              <w:t>10.</w:t>
            </w:r>
            <w:r>
              <w:rPr>
                <w:sz w:val="21"/>
              </w:rPr>
              <w:t>为方便老师教学操作及避免误操作，需支持实体按键≥8个，电源键、信号源、音量、录屏等。</w:t>
            </w:r>
          </w:p>
          <w:p>
            <w:pPr>
              <w:jc w:val="left"/>
            </w:pPr>
            <w:r>
              <w:rPr>
                <w:sz w:val="21"/>
              </w:rPr>
              <w:t>11.</w:t>
            </w:r>
            <w:r>
              <w:rPr>
                <w:sz w:val="21"/>
              </w:rPr>
              <w:t>设备需内置NFC模块，刷卡响应时间≤10ms；每台设备标配不少于5张IC卡，需支持IC卡授权管理功能，可将饭卡、一卡通等不同的IC卡进行授权成为开关机卡，防止未经授权人员操作设备，需支持查看、导入、导出、删除授权信息。</w:t>
            </w:r>
          </w:p>
          <w:p>
            <w:pPr>
              <w:jc w:val="left"/>
            </w:pPr>
            <w:r>
              <w:rPr>
                <w:sz w:val="21"/>
              </w:rPr>
              <w:t>12.</w:t>
            </w:r>
            <w:r>
              <w:rPr>
                <w:sz w:val="21"/>
              </w:rPr>
              <w:t>无需借助PC，设备需支持一键进行硬件自检，至少包括对系统内存、存储、屏温、触摸系统、光感系统、内置主机等进行状态提示及故障提示。</w:t>
            </w:r>
          </w:p>
          <w:p>
            <w:pPr>
              <w:jc w:val="left"/>
            </w:pPr>
            <w:r>
              <w:rPr>
                <w:sz w:val="21"/>
              </w:rPr>
              <w:t>13.</w:t>
            </w:r>
            <w:r>
              <w:rPr>
                <w:sz w:val="21"/>
              </w:rPr>
              <w:t>产品需内置安卓教学辅助系统，采用CPU不少于四核，安卓系统版本不低于8.0，RAM不低于2G,ROM不低于16G。</w:t>
            </w:r>
          </w:p>
          <w:p>
            <w:pPr>
              <w:jc w:val="left"/>
            </w:pPr>
            <w:r>
              <w:rPr>
                <w:sz w:val="21"/>
              </w:rPr>
              <w:t>14.</w:t>
            </w:r>
            <w:r>
              <w:rPr>
                <w:sz w:val="21"/>
              </w:rPr>
              <w:t>安卓系统主页需支持信号源预览功能，至少可支持4画面模式和单屏模式切换预览，点击对应信号源可全屏显示该信号源画面。</w:t>
            </w:r>
          </w:p>
          <w:p>
            <w:pPr>
              <w:jc w:val="left"/>
            </w:pPr>
            <w:r>
              <w:rPr>
                <w:sz w:val="21"/>
              </w:rPr>
              <w:t>15.</w:t>
            </w:r>
            <w:r>
              <w:rPr>
                <w:sz w:val="21"/>
              </w:rPr>
              <w:t>安卓系统主页支持主题模式设置，提供不少于4种主题；主页提供不少于20种主页壁纸设置，包括静态壁纸和动态壁纸。</w:t>
            </w:r>
          </w:p>
          <w:p>
            <w:pPr>
              <w:jc w:val="left"/>
            </w:pPr>
            <w:r>
              <w:rPr>
                <w:sz w:val="21"/>
              </w:rPr>
              <w:t>16.</w:t>
            </w:r>
            <w:r>
              <w:rPr>
                <w:sz w:val="21"/>
              </w:rPr>
              <w:t>要求具有Type-C接口，通过Type-C接口实现音视频输入，外接电脑设备通过TypeC线连接至整机TypeC口，即可把外接电脑设备画面投到整机上，同时在整机上操作画面，可实现触摸电脑的操作，无需再连接触控USB线。</w:t>
            </w:r>
          </w:p>
          <w:p>
            <w:pPr>
              <w:jc w:val="left"/>
            </w:pPr>
            <w:r>
              <w:rPr>
                <w:sz w:val="21"/>
              </w:rPr>
              <w:t>17.</w:t>
            </w:r>
            <w:r>
              <w:rPr>
                <w:sz w:val="21"/>
              </w:rPr>
              <w:t>外接电脑设备连接整机且触摸信号连通时，外接电脑设备需支持直接读取整机前置USB接口的移动存储设备数据。要求连接整机前置USB接口的翻页笔、无线键鼠可直接使用于外接电脑。</w:t>
            </w:r>
          </w:p>
          <w:p>
            <w:pPr>
              <w:jc w:val="left"/>
            </w:pPr>
            <w:r>
              <w:rPr>
                <w:sz w:val="21"/>
              </w:rPr>
              <w:t>18.</w:t>
            </w:r>
            <w:r>
              <w:rPr>
                <w:sz w:val="21"/>
              </w:rPr>
              <w:t>设备关键器件位于黑板下方，要求采用抽拉盒插拔式设计，无需取下黑板即可实现插拔更换。</w:t>
            </w:r>
          </w:p>
          <w:p>
            <w:pPr>
              <w:jc w:val="left"/>
            </w:pPr>
            <w:r>
              <w:rPr>
                <w:sz w:val="21"/>
              </w:rPr>
              <w:t>19.</w:t>
            </w:r>
            <w:r>
              <w:rPr>
                <w:sz w:val="21"/>
              </w:rPr>
              <w:t>设备需支持前置≥1路HDMI输入接口、≥2路USB输入接口，支持双通道；支持前置≥1路USB触控输出接口。</w:t>
            </w:r>
          </w:p>
          <w:p>
            <w:pPr>
              <w:jc w:val="left"/>
            </w:pPr>
            <w:r>
              <w:rPr>
                <w:sz w:val="21"/>
              </w:rPr>
              <w:t>20.</w:t>
            </w:r>
            <w:r>
              <w:rPr>
                <w:sz w:val="21"/>
              </w:rPr>
              <w:t>其它接口：设备需支持≥2路USB接口，≥1路TYPE-C输入接口，≥2路HDMI输入接口,≥1路VGA输入接口,≥1路AUDIO 输入接口,≥1路3.5mm耳机输出接口，≥1路RS232输入接口，≥1路TOUCH-USB 输入接口。</w:t>
            </w:r>
          </w:p>
          <w:p>
            <w:pPr>
              <w:jc w:val="left"/>
            </w:pPr>
            <w:r>
              <w:rPr>
                <w:sz w:val="21"/>
              </w:rPr>
              <w:t>21.</w:t>
            </w:r>
            <w:r>
              <w:rPr>
                <w:sz w:val="21"/>
              </w:rPr>
              <w:t>为解决系统故障，方便快速恢复，设备需支持一键还原功能。</w:t>
            </w:r>
          </w:p>
          <w:p>
            <w:pPr>
              <w:jc w:val="left"/>
            </w:pPr>
            <w:r>
              <w:rPr>
                <w:sz w:val="21"/>
              </w:rPr>
              <w:t>22.</w:t>
            </w:r>
            <w:r>
              <w:rPr>
                <w:sz w:val="21"/>
              </w:rPr>
              <w:t>产品需支持展板会议功能，可快速完成欢迎界面和主题设置，全屏显示，支持不少于12种模板，可对欢迎文字的字体、大小，颜色进行编辑，支持签名功能，并可扫码带走签名及模板。</w:t>
            </w:r>
          </w:p>
          <w:p>
            <w:pPr>
              <w:jc w:val="left"/>
            </w:pPr>
            <w:r>
              <w:rPr>
                <w:sz w:val="21"/>
              </w:rPr>
              <w:t>23.</w:t>
            </w:r>
            <w:r>
              <w:rPr>
                <w:sz w:val="21"/>
              </w:rPr>
              <w:t>设备需支持Wi-Fi制式支持802.11a/b/g/n，内置无线网络模块，可同时实现Wi-Fi无线上网连接和AP无线热点发射，Android与Windows均可无线上网。</w:t>
            </w:r>
          </w:p>
          <w:p>
            <w:pPr>
              <w:jc w:val="left"/>
            </w:pPr>
            <w:r>
              <w:rPr>
                <w:sz w:val="21"/>
              </w:rPr>
              <w:t>24.</w:t>
            </w:r>
            <w:r>
              <w:rPr>
                <w:sz w:val="21"/>
              </w:rPr>
              <w:t>要求支持设置USB锁，屏幕锁，应用锁与触摸锁功能，可以设置对应解锁的密码。</w:t>
            </w:r>
          </w:p>
          <w:p>
            <w:pPr>
              <w:jc w:val="left"/>
            </w:pPr>
            <w:r>
              <w:rPr>
                <w:sz w:val="21"/>
              </w:rPr>
              <w:t>25.</w:t>
            </w:r>
            <w:r>
              <w:rPr>
                <w:sz w:val="21"/>
              </w:rPr>
              <w:t>设备需内置不低于800万像素高拍仪，与智慧黑板为一整体；需支持防盗式设计，需支持断电安全锁功能，方便教师使用及保管；需支持同屏多画面（2、3、4、8、16）对比功能。</w:t>
            </w:r>
          </w:p>
          <w:p>
            <w:pPr>
              <w:jc w:val="left"/>
            </w:pPr>
            <w:r>
              <w:rPr>
                <w:sz w:val="21"/>
              </w:rPr>
              <w:t>26.</w:t>
            </w:r>
            <w:r>
              <w:rPr>
                <w:sz w:val="21"/>
              </w:rPr>
              <w:t>设备采用抗蓝光（背光采用去蓝光技术）、无频闪、防眩光技术。</w:t>
            </w:r>
          </w:p>
          <w:p>
            <w:pPr>
              <w:jc w:val="left"/>
            </w:pPr>
            <w:r>
              <w:rPr>
                <w:sz w:val="21"/>
              </w:rPr>
              <w:t>27.OPS</w:t>
            </w:r>
            <w:r>
              <w:rPr>
                <w:sz w:val="21"/>
              </w:rPr>
              <w:t>主机配置：需采用OPS插拔式架构，可维护、拔插式结构设计；要求处理器配置不低于10代Intel Core i5处理器，不低于8G内存，不低于128G-SSD固态硬盘；具有独立非外扩展接口：支持HDMI out≥1、Mic in≥1、LINE-out≥1、USB口≥6其中USB 3.0≥3，Rj45≥1；内置有线网卡和无线网卡。</w:t>
            </w:r>
          </w:p>
        </w:tc>
        <w:tc>
          <w:tcPr>
            <w:tcW w:type="dxa" w:w="488"/>
            <w:tcBorders>
              <w:top w:val="none" w:color="000000" w:sz="4"/>
              <w:left w:val="none" w:color="000000" w:sz="4"/>
              <w:bottom w:val="single" w:color="000000" w:sz="4"/>
              <w:right w:val="single" w:color="000000" w:sz="4"/>
            </w:tcBorders>
          </w:tcPr>
          <w:p>
            <w:pPr>
              <w:jc w:val="center"/>
            </w:pPr>
            <w:r>
              <w:rPr>
                <w:sz w:val="21"/>
              </w:rPr>
              <w:t>套</w:t>
            </w:r>
          </w:p>
        </w:tc>
        <w:tc>
          <w:tcPr>
            <w:tcW w:type="dxa" w:w="530"/>
            <w:tcBorders>
              <w:top w:val="none" w:color="000000" w:sz="4"/>
              <w:left w:val="none" w:color="000000" w:sz="4"/>
              <w:bottom w:val="single" w:color="000000" w:sz="4"/>
              <w:right w:val="single" w:color="000000" w:sz="4"/>
            </w:tcBorders>
          </w:tcPr>
          <w:p>
            <w:pPr>
              <w:jc w:val="center"/>
            </w:pPr>
            <w:r>
              <w:rPr>
                <w:sz w:val="21"/>
              </w:rPr>
              <w:t>1</w:t>
            </w:r>
          </w:p>
        </w:tc>
        <w:tc>
          <w:tcPr>
            <w:tcW w:type="dxa" w:w="628"/>
            <w:tcBorders>
              <w:top w:val="none" w:color="000000" w:sz="4"/>
              <w:left w:val="none" w:color="000000" w:sz="4"/>
              <w:bottom w:val="single" w:color="000000" w:sz="4"/>
              <w:right w:val="single" w:color="000000" w:sz="4"/>
            </w:tcBorders>
          </w:tcPr>
          <w:p>
            <w:pPr>
              <w:jc w:val="center"/>
            </w:pPr>
            <w:r>
              <w:rPr>
                <w:sz w:val="21"/>
              </w:rPr>
              <w:t>16.7</w:t>
            </w:r>
          </w:p>
        </w:tc>
        <w:tc>
          <w:tcPr>
            <w:tcW w:type="dxa" w:w="642"/>
            <w:tcBorders>
              <w:top w:val="none" w:color="000000" w:sz="4"/>
              <w:left w:val="none" w:color="000000" w:sz="4"/>
              <w:bottom w:val="single" w:color="000000" w:sz="4"/>
              <w:right w:val="single" w:color="000000" w:sz="4"/>
            </w:tcBorders>
          </w:tcPr>
          <w:p>
            <w:pPr>
              <w:jc w:val="center"/>
            </w:pPr>
            <w:r>
              <w:rPr>
                <w:b/>
                <w:sz w:val="21"/>
              </w:rPr>
              <w:t>16.7</w:t>
            </w:r>
          </w:p>
        </w:tc>
        <w:tc>
          <w:tcPr>
            <w:tcW w:type="dxa" w:w="432"/>
            <w:tcBorders>
              <w:top w:val="none" w:color="000000" w:sz="4"/>
              <w:left w:val="none" w:color="000000" w:sz="4"/>
              <w:bottom w:val="single" w:color="000000" w:sz="4"/>
              <w:right w:val="single" w:color="000000" w:sz="4"/>
            </w:tcBorders>
          </w:tcPr>
          <w:p>
            <w:pPr>
              <w:jc w:val="both"/>
            </w:pPr>
          </w:p>
        </w:tc>
      </w:tr>
    </w:tbl>
    <w:p>
      <w:pPr>
        <w:jc w:val="both"/>
      </w:pPr>
      <w:r>
        <w:rPr>
          <w:b/>
          <w:sz w:val="32"/>
        </w:rPr>
        <w:t>三、采购项目商务要求</w:t>
      </w:r>
    </w:p>
    <w:p>
      <w:pPr>
        <w:ind w:firstLine="420"/>
        <w:jc w:val="both"/>
      </w:pPr>
      <w:r>
        <w:rPr>
          <w:b/>
          <w:sz w:val="21"/>
        </w:rPr>
        <w:t>（一）质量要求</w:t>
      </w:r>
    </w:p>
    <w:p>
      <w:pPr>
        <w:ind w:firstLine="420"/>
        <w:jc w:val="both"/>
      </w:pPr>
      <w:r>
        <w:rPr>
          <w:sz w:val="21"/>
        </w:rPr>
        <w:t>1</w:t>
      </w:r>
      <w:r>
        <w:rPr>
          <w:sz w:val="21"/>
        </w:rPr>
        <w:t>．产品质量应符合中华人民共和国国家安全质量标准、环保标准、行业标准货货物来源国官方标准</w:t>
      </w:r>
      <w:r>
        <w:rPr>
          <w:sz w:val="21"/>
        </w:rPr>
        <w:t>，以及本项目招标文件的质量要求和技术指标与出厂标准。货物制造质量出现问题，</w:t>
      </w:r>
      <w:r>
        <w:rPr>
          <w:sz w:val="21"/>
        </w:rPr>
        <w:t>中标人</w:t>
      </w:r>
      <w:r>
        <w:rPr>
          <w:sz w:val="21"/>
        </w:rPr>
        <w:t>应负责三包（包修、包换、包退），费用由</w:t>
      </w:r>
      <w:r>
        <w:rPr>
          <w:sz w:val="21"/>
        </w:rPr>
        <w:t>中标人</w:t>
      </w:r>
      <w:r>
        <w:rPr>
          <w:sz w:val="21"/>
        </w:rPr>
        <w:t>负担。</w:t>
      </w:r>
    </w:p>
    <w:p>
      <w:pPr>
        <w:ind w:firstLine="420"/>
        <w:jc w:val="both"/>
      </w:pPr>
      <w:r>
        <w:rPr>
          <w:sz w:val="21"/>
        </w:rPr>
        <w:t>2</w:t>
      </w:r>
      <w:r>
        <w:rPr>
          <w:sz w:val="21"/>
        </w:rPr>
        <w:t>．产品所有技术性能规格及参数，应符合招标文件和中标人投标文件所要求的技术标准及生产厂商公开的宣传资料和生产厂商官方网站宣传内容的标准要求</w:t>
      </w:r>
      <w:r>
        <w:rPr>
          <w:sz w:val="21"/>
        </w:rPr>
        <w:t>。</w:t>
      </w:r>
    </w:p>
    <w:p>
      <w:pPr>
        <w:ind w:firstLine="420"/>
        <w:jc w:val="both"/>
      </w:pPr>
      <w:r>
        <w:rPr>
          <w:sz w:val="21"/>
        </w:rPr>
        <w:t>3</w:t>
      </w:r>
      <w:r>
        <w:rPr>
          <w:sz w:val="21"/>
        </w:rPr>
        <w:t>．中标人应保证提供的产品是全新未使用过的原厂合格正品（包括零部件），表面无划损、无任何缺陷隐患，在中国境内可依常规安全合法使用</w:t>
      </w:r>
      <w:r>
        <w:rPr>
          <w:sz w:val="21"/>
        </w:rPr>
        <w:t>。</w:t>
      </w:r>
    </w:p>
    <w:p>
      <w:pPr>
        <w:ind w:firstLine="420"/>
        <w:jc w:val="both"/>
      </w:pPr>
      <w:r>
        <w:rPr>
          <w:sz w:val="21"/>
        </w:rPr>
        <w:t>4.</w:t>
      </w:r>
      <w:r>
        <w:rPr>
          <w:sz w:val="21"/>
        </w:rPr>
        <w:t>中标人</w:t>
      </w:r>
      <w:r>
        <w:rPr>
          <w:sz w:val="21"/>
        </w:rPr>
        <w:t>应保证提供的</w:t>
      </w:r>
      <w:r>
        <w:rPr>
          <w:sz w:val="21"/>
        </w:rPr>
        <w:t>货物不侵犯任何第三方的专利、商标或版权等知识产权。否则，中标人须承担对第三方的专利或版权的侵权责任并承担因此而发生的所有费用</w:t>
      </w:r>
      <w:r>
        <w:rPr>
          <w:sz w:val="21"/>
        </w:rPr>
        <w:t>。</w:t>
      </w:r>
    </w:p>
    <w:p>
      <w:pPr>
        <w:ind w:firstLine="420"/>
        <w:jc w:val="both"/>
      </w:pPr>
      <w:r>
        <w:rPr>
          <w:sz w:val="21"/>
        </w:rPr>
        <w:t>5.</w:t>
      </w:r>
      <w:r>
        <w:rPr>
          <w:sz w:val="21"/>
        </w:rPr>
        <w:t>中标人提供的货物未达到招标文件规定要求，且对采购人造成损失的，由中标人承担一切责任，并赔偿所造成的损失。</w:t>
      </w:r>
    </w:p>
    <w:p>
      <w:pPr>
        <w:ind w:firstLine="420"/>
        <w:jc w:val="both"/>
      </w:pPr>
      <w:r>
        <w:rPr>
          <w:b/>
          <w:sz w:val="21"/>
        </w:rPr>
        <w:t>（二）包装、保险及发运、保管要求</w:t>
      </w:r>
    </w:p>
    <w:p>
      <w:pPr>
        <w:ind w:firstLine="420"/>
        <w:jc w:val="both"/>
      </w:pPr>
      <w:r>
        <w:rPr>
          <w:sz w:val="21"/>
        </w:rPr>
        <w:t>1</w:t>
      </w:r>
      <w:r>
        <w:rPr>
          <w:sz w:val="21"/>
        </w:rPr>
        <w:t>．设备材料的包装必须是制造商原厂包装，其包装均应有良好的防湿、防锈、防潮、防雨、防腐及防碰撞的措施；凡由于包装不良造成的损失和由此产生的费用均由投标人承担。</w:t>
      </w:r>
    </w:p>
    <w:p>
      <w:pPr>
        <w:ind w:firstLine="420"/>
        <w:jc w:val="both"/>
      </w:pPr>
      <w:r>
        <w:rPr>
          <w:sz w:val="21"/>
        </w:rPr>
        <w:t>2</w:t>
      </w:r>
      <w:r>
        <w:rPr>
          <w:sz w:val="21"/>
        </w:rPr>
        <w:t>．中标人负责将设备材料货到现场过程中的全部运输和相关费用，包括装卸车、货物现场的搬运和人工费等。</w:t>
      </w:r>
    </w:p>
    <w:p>
      <w:pPr>
        <w:ind w:firstLine="420"/>
        <w:jc w:val="both"/>
      </w:pPr>
      <w:r>
        <w:rPr>
          <w:sz w:val="21"/>
        </w:rPr>
        <w:t>3</w:t>
      </w:r>
      <w:r>
        <w:rPr>
          <w:sz w:val="21"/>
        </w:rPr>
        <w:t>．各种设备必须提供装箱清单，按装箱清单验收货物。</w:t>
      </w:r>
    </w:p>
    <w:p>
      <w:pPr>
        <w:ind w:firstLine="420"/>
        <w:jc w:val="both"/>
      </w:pPr>
      <w:r>
        <w:rPr>
          <w:sz w:val="21"/>
        </w:rPr>
        <w:t>4</w:t>
      </w:r>
      <w:r>
        <w:rPr>
          <w:sz w:val="21"/>
        </w:rPr>
        <w:t>．货物在现场的保管由中标人负责，直至项目安装、验收完毕。</w:t>
      </w:r>
    </w:p>
    <w:p>
      <w:pPr>
        <w:ind w:firstLine="420"/>
        <w:jc w:val="both"/>
      </w:pPr>
      <w:r>
        <w:rPr>
          <w:sz w:val="21"/>
        </w:rPr>
        <w:t>5</w:t>
      </w:r>
      <w:r>
        <w:rPr>
          <w:sz w:val="21"/>
        </w:rPr>
        <w:t>．货物在系统安装调试验收合格前的保险由中标人负责，中标人负责其派出的现场服务人员人身意外保险。</w:t>
      </w:r>
    </w:p>
    <w:p>
      <w:pPr>
        <w:ind w:firstLine="420"/>
        <w:jc w:val="both"/>
      </w:pPr>
      <w:r>
        <w:rPr>
          <w:sz w:val="21"/>
        </w:rPr>
        <w:t>6</w:t>
      </w:r>
      <w:r>
        <w:rPr>
          <w:sz w:val="21"/>
        </w:rPr>
        <w:t>．设备至采购人指定的使用现场的包装、保险及发运等环节和费用均由中标人负责。</w:t>
      </w:r>
    </w:p>
    <w:p>
      <w:pPr>
        <w:ind w:firstLine="420"/>
        <w:jc w:val="both"/>
      </w:pPr>
      <w:r>
        <w:rPr>
          <w:b/>
          <w:sz w:val="21"/>
        </w:rPr>
        <w:t>（三）安装、调试</w:t>
      </w:r>
    </w:p>
    <w:p>
      <w:pPr>
        <w:ind w:firstLine="420"/>
        <w:jc w:val="both"/>
      </w:pPr>
      <w:r>
        <w:rPr>
          <w:sz w:val="21"/>
        </w:rPr>
        <w:t>1</w:t>
      </w:r>
      <w:r>
        <w:rPr>
          <w:sz w:val="21"/>
        </w:rPr>
        <w:t>．中标人投标报价应包含合同项下设备的购置、运输、安装、调试、税金、培训、售后服务、以及招标文件中要求投标人提供的专项服务等一切费用。</w:t>
      </w:r>
    </w:p>
    <w:p>
      <w:pPr>
        <w:ind w:firstLine="420"/>
        <w:jc w:val="both"/>
      </w:pPr>
      <w:r>
        <w:rPr>
          <w:sz w:val="21"/>
        </w:rPr>
        <w:t>2</w:t>
      </w:r>
      <w:r>
        <w:rPr>
          <w:sz w:val="21"/>
        </w:rPr>
        <w:t>．中标人必须依照招标文件的要求和投标文件的承诺，将设备、系统安装并调试至正常运行的最佳状态。</w:t>
      </w:r>
    </w:p>
    <w:p>
      <w:pPr>
        <w:ind w:firstLine="420"/>
        <w:jc w:val="both"/>
      </w:pPr>
      <w:r>
        <w:rPr>
          <w:sz w:val="21"/>
        </w:rPr>
        <w:t>3.</w:t>
      </w:r>
      <w:r>
        <w:rPr>
          <w:sz w:val="21"/>
        </w:rPr>
        <w:t>中标人</w:t>
      </w:r>
      <w:r>
        <w:rPr>
          <w:sz w:val="21"/>
        </w:rPr>
        <w:t>必须拟定项目进度安排计划，并按照进度安排计划派出适当的技术人员到安装现场负责免费安装和调试工作。在安装施工期间，严格遵守采购人的有关制度。安装施工期间需做到安全文明施工，</w:t>
      </w:r>
      <w:r>
        <w:rPr>
          <w:sz w:val="21"/>
        </w:rPr>
        <w:t>不得损坏采购人的设备设施，否则原价赔偿。</w:t>
      </w:r>
    </w:p>
    <w:p>
      <w:pPr>
        <w:ind w:firstLine="420"/>
        <w:jc w:val="both"/>
      </w:pPr>
      <w:r>
        <w:rPr>
          <w:sz w:val="21"/>
        </w:rPr>
        <w:t>4.</w:t>
      </w:r>
      <w:r>
        <w:rPr>
          <w:sz w:val="21"/>
        </w:rPr>
        <w:t>所有设备均应按出厂标准及国家有关要求进行包装及运输，免费送货至采购人指定的交货地点，由中标人负责派人负责设备的现场安装和调试。在设备的安装、调试、试运行期间，中标人安装调试人员一切费用自理。</w:t>
      </w:r>
    </w:p>
    <w:p>
      <w:pPr>
        <w:ind w:firstLine="420"/>
        <w:jc w:val="both"/>
      </w:pPr>
      <w:r>
        <w:rPr>
          <w:b/>
          <w:sz w:val="21"/>
        </w:rPr>
        <w:t>（四）验收</w:t>
      </w:r>
    </w:p>
    <w:p>
      <w:pPr>
        <w:ind w:firstLine="420"/>
        <w:jc w:val="both"/>
      </w:pPr>
      <w:r>
        <w:rPr>
          <w:sz w:val="21"/>
        </w:rPr>
        <w:t>1.</w:t>
      </w:r>
      <w:r>
        <w:rPr>
          <w:sz w:val="21"/>
        </w:rPr>
        <w:t>由采购人组织成立验收小组，验收按国家有关的规定、规范进行，必要时邀请相关的专业人员或机构参与验收。验收时如发现所交付的设备有短装、次品、损坏或其它不符合本合同规定的情况，采购人应做出详尽的现场记录，或由采购人和中标人双方签署备忘录。此现场记录或备忘录可用作补充、缺失和更换损坏部件的有效证据。由此产生的有关费用由中标人承担。</w:t>
      </w:r>
    </w:p>
    <w:p>
      <w:pPr>
        <w:ind w:firstLine="420"/>
        <w:jc w:val="both"/>
      </w:pPr>
      <w:r>
        <w:rPr>
          <w:sz w:val="21"/>
        </w:rPr>
        <w:t>2.</w:t>
      </w:r>
      <w:r>
        <w:rPr>
          <w:sz w:val="21"/>
        </w:rPr>
        <w:t>货物若有国家标准按照国家标准验收，若无国家标准按行业标准验收，须为原制造商制造的全新产品，满足招标文件里规定参数及性能需求，整机无污染，无侵权行为、表面无划损、无任何缺陷隐患，在中国境内可依常规安全合法使用。</w:t>
      </w:r>
    </w:p>
    <w:p>
      <w:pPr>
        <w:ind w:firstLine="420"/>
        <w:jc w:val="both"/>
      </w:pPr>
      <w:r>
        <w:rPr>
          <w:sz w:val="21"/>
        </w:rPr>
        <w:t>3.</w:t>
      </w:r>
      <w:r>
        <w:rPr>
          <w:sz w:val="21"/>
        </w:rPr>
        <w:t>如果合同设备运输和安装调试过程中因事故造成货物短缺、损坏，中标人应及时安排换货，以保证合同设备安装调试的成功完成。换货的相关费用由中标人承担。</w:t>
      </w:r>
    </w:p>
    <w:p>
      <w:pPr>
        <w:ind w:firstLine="420"/>
        <w:jc w:val="both"/>
      </w:pPr>
      <w:r>
        <w:rPr>
          <w:sz w:val="21"/>
        </w:rPr>
        <w:t>4.</w:t>
      </w:r>
      <w:r>
        <w:rPr>
          <w:sz w:val="21"/>
        </w:rPr>
        <w:t>货物为原厂商未启封全新包装，具出厂合格证，序列号、包装箱号与出厂批号一致，并可追索查阅。所有随设备的附件必须齐全。</w:t>
      </w:r>
    </w:p>
    <w:p>
      <w:pPr>
        <w:ind w:firstLine="420"/>
        <w:jc w:val="both"/>
      </w:pPr>
      <w:r>
        <w:rPr>
          <w:sz w:val="21"/>
        </w:rPr>
        <w:t>5.</w:t>
      </w:r>
      <w:r>
        <w:rPr>
          <w:sz w:val="21"/>
        </w:rPr>
        <w:t>中标人应将关键主机设备的用户手册、保修手册、有关单证资料及配备件、随机工具等交付给采购人，使用操作及安全须知等重要资料应附有中文说明。</w:t>
      </w:r>
    </w:p>
    <w:p>
      <w:pPr>
        <w:ind w:firstLine="420"/>
        <w:jc w:val="both"/>
      </w:pPr>
      <w:r>
        <w:rPr>
          <w:sz w:val="21"/>
        </w:rPr>
        <w:t>6.</w:t>
      </w:r>
      <w:r>
        <w:rPr>
          <w:sz w:val="21"/>
        </w:rPr>
        <w:t>中标人在项目安装调试完成后向采购人提出验收申请，采购人在7日内组织履约验收。</w:t>
      </w:r>
    </w:p>
    <w:p>
      <w:pPr>
        <w:ind w:firstLine="420"/>
        <w:jc w:val="both"/>
      </w:pPr>
      <w:r>
        <w:rPr>
          <w:b/>
          <w:sz w:val="32"/>
        </w:rPr>
        <w:t>四、售后服务要求</w:t>
      </w:r>
    </w:p>
    <w:p>
      <w:pPr>
        <w:ind w:firstLine="420"/>
        <w:jc w:val="left"/>
      </w:pPr>
      <w:r>
        <w:rPr>
          <w:sz w:val="21"/>
        </w:rPr>
        <w:t>1.</w:t>
      </w:r>
      <w:r>
        <w:rPr>
          <w:sz w:val="21"/>
        </w:rPr>
        <w:t>质保期期限（简称“质保期”）为本项目有关部门验收签字之日起，核心产品原厂质保</w:t>
      </w:r>
      <w:r>
        <w:rPr>
          <w:sz w:val="21"/>
          <w:u w:val="single"/>
        </w:rPr>
        <w:t>3</w:t>
      </w:r>
      <w:r>
        <w:rPr>
          <w:sz w:val="21"/>
        </w:rPr>
        <w:t>年；本项目质保期为</w:t>
      </w:r>
      <w:r>
        <w:rPr>
          <w:sz w:val="21"/>
          <w:u w:val="single"/>
        </w:rPr>
        <w:t>3</w:t>
      </w:r>
      <w:r>
        <w:rPr>
          <w:sz w:val="21"/>
        </w:rPr>
        <w:t>年。质保期内中标人必须负责免费维修及更换配件</w:t>
      </w:r>
      <w:r>
        <w:rPr>
          <w:sz w:val="21"/>
        </w:rPr>
        <w:t>，质量保证期结束后，只收取相应的零件成本费用，免收人工费。</w:t>
      </w:r>
    </w:p>
    <w:p>
      <w:pPr>
        <w:ind w:firstLine="420"/>
        <w:jc w:val="left"/>
      </w:pPr>
      <w:r>
        <w:rPr>
          <w:sz w:val="21"/>
        </w:rPr>
        <w:t>2.</w:t>
      </w:r>
      <w:r>
        <w:rPr>
          <w:sz w:val="21"/>
        </w:rPr>
        <w:t>质保期内，如设备或零部件因非人为因素出现故障而造成短期停用时，则质保期和免费维修期相应顺延。如停用时间累计超过</w:t>
      </w:r>
      <w:r>
        <w:rPr>
          <w:sz w:val="21"/>
          <w:u w:val="single"/>
        </w:rPr>
        <w:t>60</w:t>
      </w:r>
      <w:r>
        <w:rPr>
          <w:sz w:val="21"/>
        </w:rPr>
        <w:t>天则质保期重新计算。</w:t>
      </w:r>
    </w:p>
    <w:p>
      <w:pPr>
        <w:ind w:firstLine="420"/>
        <w:jc w:val="left"/>
      </w:pPr>
      <w:r>
        <w:rPr>
          <w:sz w:val="21"/>
        </w:rPr>
        <w:t>3.</w:t>
      </w:r>
      <w:r>
        <w:rPr>
          <w:sz w:val="21"/>
        </w:rPr>
        <w:t>免费质保期内</w:t>
      </w:r>
      <w:r>
        <w:rPr>
          <w:sz w:val="21"/>
        </w:rPr>
        <w:t>对采购人的服务通知，中标人在接报后2小时内响应，</w:t>
      </w:r>
      <w:r>
        <w:rPr>
          <w:sz w:val="21"/>
          <w:u w:val="single"/>
        </w:rPr>
        <w:t>6</w:t>
      </w:r>
      <w:r>
        <w:rPr>
          <w:sz w:val="21"/>
        </w:rPr>
        <w:t>小时内派技术人员到达现场，</w:t>
      </w:r>
      <w:r>
        <w:rPr>
          <w:sz w:val="21"/>
          <w:u w:val="single"/>
        </w:rPr>
        <w:t>48</w:t>
      </w:r>
      <w:r>
        <w:rPr>
          <w:sz w:val="21"/>
        </w:rPr>
        <w:t>小时内完成故障检测与排除。若在</w:t>
      </w:r>
      <w:r>
        <w:rPr>
          <w:sz w:val="21"/>
          <w:u w:val="single"/>
        </w:rPr>
        <w:t>48</w:t>
      </w:r>
      <w:r>
        <w:rPr>
          <w:sz w:val="21"/>
        </w:rPr>
        <w:t>小时内仍未能有效解决，中标人须免费提供同档次的设备予采购人临时使用。</w:t>
      </w:r>
    </w:p>
    <w:p>
      <w:pPr>
        <w:ind w:firstLine="420"/>
        <w:jc w:val="left"/>
      </w:pPr>
      <w:r>
        <w:rPr>
          <w:sz w:val="21"/>
        </w:rPr>
        <w:t>4.</w:t>
      </w:r>
      <w:r>
        <w:rPr>
          <w:sz w:val="21"/>
        </w:rPr>
        <w:t>质保期内，非采购人的人为原因而出现产品质量的，由中标人负责包修、包换或包退，并承担因此而产生的一切费用。</w:t>
      </w:r>
    </w:p>
    <w:p>
      <w:pPr>
        <w:ind w:firstLine="420"/>
        <w:jc w:val="left"/>
      </w:pPr>
      <w:r>
        <w:rPr>
          <w:sz w:val="21"/>
        </w:rPr>
        <w:t>5.</w:t>
      </w:r>
      <w:r>
        <w:rPr>
          <w:sz w:val="21"/>
        </w:rPr>
        <w:t>所有货物质保服务方式均为中标人上门服务，即由中标人派员到货物使用现场维修，由此产生的一切费用均由中标人承担。</w:t>
      </w:r>
    </w:p>
    <w:p>
      <w:pPr>
        <w:ind w:firstLine="420"/>
        <w:jc w:val="left"/>
      </w:pPr>
      <w:r>
        <w:rPr>
          <w:sz w:val="21"/>
        </w:rPr>
        <w:t>6</w:t>
      </w:r>
      <w:r>
        <w:rPr>
          <w:sz w:val="21"/>
        </w:rPr>
        <w:t>、因本项目涉及2024年二次搬迁，中标人需要派人负责设备的二次搬迁的现场安装、调试和试运行。在设备的安装、调试、试运行期间，中标人须负责一切相关费用，费用包含在投标总价中，不另外收费。</w:t>
      </w:r>
    </w:p>
    <w:p>
      <w:pPr>
        <w:jc w:val="both"/>
      </w:pPr>
      <w:r>
        <w:rPr>
          <w:b/>
          <w:sz w:val="32"/>
        </w:rPr>
        <w:t>五、培训服务要求</w:t>
      </w:r>
    </w:p>
    <w:p>
      <w:pPr>
        <w:ind w:firstLine="525"/>
        <w:jc w:val="left"/>
      </w:pPr>
      <w:r>
        <w:rPr>
          <w:sz w:val="21"/>
        </w:rPr>
        <w:t>中标人需要免费提供现场培训，以便采购人能对所采购的设备能有更进一步的了解和熟练的使用。</w:t>
      </w:r>
    </w:p>
    <w:p>
      <w:pPr>
        <w:ind w:firstLine="420"/>
        <w:jc w:val="left"/>
      </w:pPr>
      <w:r>
        <w:rPr>
          <w:sz w:val="21"/>
        </w:rPr>
        <w:t>（一）培训内容：投标人为采购人免费提供操作及维护培训，主要内容为设备的基本结构、性能、主要部件的构造及原理，日常使用操作、保养与管理，常见故障的排除，紧急情况的处理等。</w:t>
      </w:r>
    </w:p>
    <w:p>
      <w:pPr>
        <w:ind w:firstLine="420"/>
        <w:jc w:val="left"/>
      </w:pPr>
      <w:r>
        <w:rPr>
          <w:sz w:val="21"/>
        </w:rPr>
        <w:t>（二）培训要求</w:t>
      </w:r>
    </w:p>
    <w:p>
      <w:pPr>
        <w:ind w:firstLine="420"/>
        <w:jc w:val="left"/>
      </w:pPr>
      <w:r>
        <w:rPr>
          <w:sz w:val="21"/>
        </w:rPr>
        <w:t>（1）现场培训：中标人在设备的安装、调试、验收完毕后即进行现场培训直至采购人基本掌握运行操作、维修保养技术。</w:t>
      </w:r>
    </w:p>
    <w:p>
      <w:pPr>
        <w:ind w:firstLine="420"/>
        <w:jc w:val="left"/>
      </w:pPr>
      <w:r>
        <w:rPr>
          <w:sz w:val="21"/>
        </w:rPr>
        <w:t>（2）专门培训：中标人应就设备的安装</w:t>
      </w:r>
      <w:r>
        <w:rPr>
          <w:sz w:val="21"/>
        </w:rPr>
        <w:t>、检验、调试、使用和维护等免费为采购人培训</w:t>
      </w:r>
      <w:r>
        <w:rPr>
          <w:sz w:val="21"/>
        </w:rPr>
        <w:t>5</w:t>
      </w:r>
      <w:r>
        <w:rPr>
          <w:sz w:val="21"/>
        </w:rPr>
        <w:t>名人员，直到采购</w:t>
      </w:r>
      <w:r>
        <w:rPr>
          <w:sz w:val="21"/>
        </w:rPr>
        <w:t>人受训人员全部掌握运行操作、维修保养技术，并能达到正确检修、维护、排除一般故障为止，采购人受训人员的培训费用由中标人承担。</w:t>
      </w:r>
    </w:p>
    <w:p>
      <w:pPr>
        <w:ind w:firstLine="420"/>
        <w:jc w:val="left"/>
      </w:pPr>
      <w:r>
        <w:rPr>
          <w:sz w:val="21"/>
        </w:rPr>
        <w:t>（3）培训方式：技术培训、操作培训。</w:t>
      </w:r>
    </w:p>
    <w:p>
      <w:pPr>
        <w:ind w:firstLine="420"/>
        <w:jc w:val="left"/>
      </w:pPr>
      <w:r>
        <w:rPr>
          <w:sz w:val="21"/>
        </w:rPr>
        <w:t>（4）培训地点、培训时间与受训人员：由采购人确定受训人员，采购人、中标人双方商定时间和地点。</w:t>
      </w:r>
    </w:p>
    <w:p>
      <w:pPr>
        <w:ind w:firstLine="420"/>
        <w:jc w:val="left"/>
      </w:pPr>
      <w:r>
        <w:rPr>
          <w:sz w:val="21"/>
        </w:rPr>
        <w:t>（5）中标人需要为采购人提供与本项目配套的培训（包含在报价总价内，不另收费），内容包括设备使用技术培训服务至少2批（每批不少于5人），每批次培训时长不少于3天。</w:t>
      </w:r>
    </w:p>
    <w:p>
      <w:pPr>
        <w:ind w:firstLine="420"/>
        <w:jc w:val="left"/>
      </w:pPr>
      <w:r>
        <w:rPr>
          <w:sz w:val="21"/>
        </w:rPr>
        <w:t>（6）培训授课人必须是经过厂家认证工程师、技术员等，授课人要具备相应设备所对应工种的技能等级证书。</w:t>
      </w:r>
    </w:p>
    <w:p>
      <w:pPr>
        <w:ind w:firstLine="420"/>
        <w:jc w:val="left"/>
      </w:pPr>
      <w:r>
        <w:rPr>
          <w:sz w:val="21"/>
        </w:rPr>
        <w:t>（7）中标人必须为所有被培训人员免费提供培训用文字资料等相关用品。</w:t>
      </w:r>
    </w:p>
    <w:p>
      <w:pPr>
        <w:jc w:val="both"/>
      </w:pPr>
      <w:r>
        <w:rPr>
          <w:b/>
          <w:sz w:val="32"/>
        </w:rPr>
        <w:t>六、付款方式</w:t>
      </w:r>
    </w:p>
    <w:p>
      <w:pPr>
        <w:ind w:firstLine="420"/>
        <w:jc w:val="left"/>
      </w:pPr>
      <w:r>
        <w:rPr>
          <w:sz w:val="21"/>
        </w:rPr>
        <w:t>1.</w:t>
      </w:r>
      <w:r>
        <w:rPr>
          <w:sz w:val="21"/>
        </w:rPr>
        <w:t>合同签订后收到乙方出具的合法有效发票5个工作日内甲方向乙方办理预付合同总价的60%的支付手续。</w:t>
      </w:r>
    </w:p>
    <w:p>
      <w:pPr>
        <w:ind w:firstLine="420"/>
        <w:jc w:val="left"/>
      </w:pPr>
      <w:r>
        <w:rPr>
          <w:sz w:val="21"/>
        </w:rPr>
        <w:t>2.</w:t>
      </w:r>
      <w:r>
        <w:rPr>
          <w:sz w:val="21"/>
        </w:rPr>
        <w:t>全部合同货物到达交货地点，并安装调试且甲方验收合格后，凭验收合格单或验收合格报告，甲方在收到有效发票后5个工作日内向乙方支付合同总价的40%。</w:t>
      </w:r>
    </w:p>
    <w:p>
      <w:pPr>
        <w:ind w:firstLine="420"/>
        <w:jc w:val="left"/>
      </w:pPr>
      <w:r>
        <w:rPr>
          <w:sz w:val="21"/>
        </w:rPr>
        <w:t>3.</w:t>
      </w:r>
      <w:r>
        <w:rPr>
          <w:sz w:val="21"/>
        </w:rPr>
        <w:t>乙方须在甲方每次办理付款手续前 5 个工作日内，向甲方提供有效发票，且收款方、出具发票方、合同乙方均必须与乙方名称一致，逾期未提供的，付款相应顺延。甲方支付以乙方无违约为前提，若乙方违约，甲方有权在应付款项中做相应扣除。因甲方使用的是财政资金，甲方在前款规定的付款时间为向政府采购支付部门提出办理财政支付申请手续的时间（不含政府财政支付部门审核的时间），在规定时间内提出支付申请手续后即视为甲方已经按期支付。</w:t>
      </w:r>
    </w:p>
    <w:p>
      <w:pPr>
        <w:jc w:val="left"/>
      </w:pPr>
      <w:r>
        <w:rPr>
          <w:b/>
          <w:sz w:val="32"/>
        </w:rPr>
        <w:t>七、其他情况说明：</w:t>
      </w:r>
    </w:p>
    <w:p>
      <w:pPr>
        <w:ind w:firstLine="420"/>
        <w:jc w:val="left"/>
      </w:pPr>
      <w:r>
        <w:rPr>
          <w:sz w:val="21"/>
        </w:rPr>
        <w:t>通过建设人工智能训练师等级认定实训室，为保障项目标的功能正常运行，保障实训教学的正常开展，由中标人与采购人充分沟通。负责功能区域隔断、职业场景布置、地面平整防静电处理、强弱电综合布线、企业文化挂图、平面图及效果图设计、物品拆旧搬运清理等，满足各实训功能区域划分的要求，实现分区域开展实训教学。实训室面积小于120平方米，文化挂画数量不少于5张、单张面积不小于1平方米，采用PVC亚克力或3P布材质(费用包含在投标总价中，不另外收费)。</w:t>
      </w:r>
    </w:p>
    <w:p>
      <w:pPr>
        <w:jc w:val="both"/>
      </w:pPr>
    </w:p>
    <w:p/>
    <w:p>
      <w:pPr>
        <w:ind w:firstLine="480"/>
      </w:pPr>
    </w:p>
    <w:p/>
    <w:p>
      <w:r>
        <w:rPr/>
        <w:t>采购包1（人工智能训练师等级认定实训室项目）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合同签订后60 个自然日内（完成供货、安装、调试和验收工作）。</w:t>
            </w:r>
          </w:p>
        </w:tc>
      </w:tr>
      <w:tr>
        <w:tc>
          <w:tcPr>
            <w:tcW w:type="dxa" w:w="4153"/>
          </w:tcPr>
          <w:p>
            <w:r>
              <w:rPr/>
              <w:t>标的提供的地点</w:t>
            </w:r>
          </w:p>
        </w:tc>
        <w:tc>
          <w:tcPr>
            <w:tcW w:type="dxa" w:w="4153"/>
          </w:tcPr>
          <w:p/>
          <w:p>
            <w:r>
              <w:rPr/>
              <w:t>采购人指定地点</w:t>
            </w:r>
          </w:p>
        </w:tc>
      </w:tr>
      <w:tr>
        <w:tc>
          <w:tcPr>
            <w:tcW w:type="dxa" w:w="4153"/>
          </w:tcPr>
          <w:p>
            <w:r>
              <w:rPr/>
              <w:t>付款方式</w:t>
            </w:r>
          </w:p>
        </w:tc>
        <w:tc>
          <w:tcPr>
            <w:tcW w:type="dxa" w:w="4153"/>
          </w:tcPr>
          <w:p/>
          <w:p/>
          <w:p>
            <w:r>
              <w:rPr/>
              <w:t>1期：支付比例100%,详见第二章采购需求</w:t>
            </w:r>
          </w:p>
        </w:tc>
      </w:tr>
      <w:tr>
        <w:tc>
          <w:tcPr>
            <w:tcW w:type="dxa" w:w="4153"/>
          </w:tcPr>
          <w:p>
            <w:r>
              <w:rPr/>
              <w:t>验收要求</w:t>
            </w:r>
          </w:p>
        </w:tc>
        <w:tc>
          <w:tcPr>
            <w:tcW w:type="dxa" w:w="4153"/>
          </w:tcPr>
          <w:p/>
          <w:p/>
          <w:p/>
          <w:p>
            <w:r>
              <w:rPr/>
              <w:t>1期：详见第二章采购需求</w:t>
            </w:r>
          </w:p>
        </w:tc>
      </w:tr>
      <w:tr>
        <w:tc>
          <w:tcPr>
            <w:tcW w:type="dxa" w:w="4153"/>
          </w:tcPr>
          <w:p>
            <w:r>
              <w:rPr/>
              <w:t>履约保证金</w:t>
            </w:r>
          </w:p>
        </w:tc>
        <w:tc>
          <w:tcPr>
            <w:tcW w:type="dxa" w:w="4153"/>
          </w:tcPr>
          <w:p/>
          <w:p/>
          <w:p>
            <w:r>
              <w:rPr/>
              <w:t>不收取</w:t>
            </w:r>
          </w:p>
        </w:tc>
      </w:tr>
      <w:tr>
        <w:tc>
          <w:tcPr>
            <w:tcW w:type="dxa" w:w="4153"/>
          </w:tcPr>
          <w:p>
            <w:r>
              <w:rPr/>
              <w:t>其他</w:t>
            </w:r>
          </w:p>
        </w:tc>
        <w:tc>
          <w:tcPr>
            <w:tcW w:type="dxa" w:w="4153"/>
          </w:tcPr>
          <w:p/>
        </w:tc>
      </w:tr>
    </w:tbl>
    <w:p>
      <w:r>
        <w:rPr>
          <w:b/>
        </w:rPr>
        <w:t>2.技术标准与要求</w:t>
      </w:r>
    </w:p>
    <w:p/>
    <w:p/>
    <w:p/>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jc w:val="center"/>
            </w:pPr>
            <w:r>
              <w:rPr/>
              <w:t>序号</w:t>
            </w:r>
          </w:p>
        </w:tc>
        <w:tc>
          <w:tcPr>
            <w:tcW w:type="dxa" w:w="831"/>
          </w:tcPr>
          <w:p>
            <w:pPr>
              <w:jc w:val="center"/>
            </w:pPr>
            <w:r>
              <w:rPr/>
              <w:t>核心产品要求（“△”）</w:t>
            </w:r>
          </w:p>
        </w:tc>
        <w:tc>
          <w:tcPr>
            <w:tcW w:type="dxa" w:w="831"/>
          </w:tcPr>
          <w:p>
            <w:pPr>
              <w:jc w:val="center"/>
            </w:pPr>
            <w:r>
              <w:rPr/>
              <w:t>品目名称</w:t>
            </w:r>
          </w:p>
        </w:tc>
        <w:tc>
          <w:tcPr>
            <w:tcW w:type="dxa" w:w="831"/>
          </w:tcPr>
          <w:p>
            <w:pPr>
              <w:jc w:val="center"/>
            </w:pPr>
            <w:r>
              <w:rPr/>
              <w:t>标的名称</w:t>
            </w:r>
          </w:p>
        </w:tc>
        <w:tc>
          <w:tcPr>
            <w:tcW w:type="dxa" w:w="831"/>
          </w:tcPr>
          <w:p>
            <w:pPr>
              <w:jc w:val="center"/>
            </w:pPr>
            <w:r>
              <w:rPr/>
              <w:t>单位</w:t>
            </w:r>
          </w:p>
        </w:tc>
        <w:tc>
          <w:tcPr>
            <w:tcW w:type="dxa" w:w="831"/>
          </w:tcPr>
          <w:p>
            <w:pPr>
              <w:jc w:val="center"/>
            </w:pPr>
            <w:r>
              <w:rPr/>
              <w:t>数量</w:t>
            </w:r>
          </w:p>
        </w:tc>
        <w:tc>
          <w:tcPr>
            <w:tcW w:type="dxa" w:w="831"/>
          </w:tcPr>
          <w:p>
            <w:pPr>
              <w:jc w:val="center"/>
            </w:pPr>
            <w:r>
              <w:rPr/>
              <w:t>分项预算单价（元）</w:t>
            </w:r>
          </w:p>
        </w:tc>
        <w:tc>
          <w:tcPr>
            <w:tcW w:type="dxa" w:w="831"/>
          </w:tcPr>
          <w:p>
            <w:pPr>
              <w:jc w:val="center"/>
            </w:pPr>
            <w:r>
              <w:rPr/>
              <w:t>分项预算总价（元）</w:t>
            </w:r>
          </w:p>
        </w:tc>
        <w:tc>
          <w:tcPr>
            <w:tcW w:type="dxa" w:w="831"/>
          </w:tcPr>
          <w:p>
            <w:r>
              <w:rPr/>
              <w:t>所属行业</w:t>
            </w:r>
          </w:p>
        </w:tc>
        <w:tc>
          <w:tcPr>
            <w:tcW w:type="dxa" w:w="831"/>
          </w:tcPr>
          <w:p>
            <w:pPr>
              <w:jc w:val="center"/>
            </w:pPr>
            <w:r>
              <w:rPr/>
              <w:t>技术要求</w:t>
            </w:r>
          </w:p>
        </w:tc>
      </w:tr>
      <w:tr>
        <w:tc>
          <w:tcPr>
            <w:tcW w:type="dxa" w:w="831"/>
          </w:tcPr>
          <w:p>
            <w:pPr>
              <w:jc w:val="center"/>
            </w:pPr>
            <w:r>
              <w:rPr/>
              <w:t>1</w:t>
            </w:r>
          </w:p>
        </w:tc>
        <w:tc>
          <w:tcPr>
            <w:tcW w:type="dxa" w:w="831"/>
          </w:tcPr>
          <w:p>
            <w:pPr>
              <w:jc w:val="center"/>
            </w:pPr>
          </w:p>
        </w:tc>
        <w:tc>
          <w:tcPr>
            <w:tcW w:type="dxa" w:w="831"/>
          </w:tcPr>
          <w:p>
            <w:pPr>
              <w:jc w:val="left"/>
            </w:pPr>
            <w:r>
              <w:rPr/>
              <w:t>其他电气机械设备</w:t>
            </w:r>
          </w:p>
        </w:tc>
        <w:tc>
          <w:tcPr>
            <w:tcW w:type="dxa" w:w="831"/>
          </w:tcPr>
          <w:p>
            <w:pPr>
              <w:jc w:val="left"/>
            </w:pPr>
            <w:r>
              <w:rPr/>
              <w:t>人工智能训练师实训平台</w:t>
            </w:r>
          </w:p>
        </w:tc>
        <w:tc>
          <w:tcPr>
            <w:tcW w:type="dxa" w:w="831"/>
          </w:tcPr>
          <w:p>
            <w:pPr>
              <w:jc w:val="left"/>
            </w:pPr>
            <w:r>
              <w:rPr/>
              <w:t>套</w:t>
            </w:r>
          </w:p>
        </w:tc>
        <w:tc>
          <w:tcPr>
            <w:tcW w:type="dxa" w:w="831"/>
          </w:tcPr>
          <w:p>
            <w:pPr>
              <w:jc w:val="right"/>
            </w:pPr>
            <w:r>
              <w:rPr/>
              <w:t>1.00</w:t>
            </w:r>
          </w:p>
        </w:tc>
        <w:tc>
          <w:tcPr>
            <w:tcW w:type="dxa" w:w="831"/>
          </w:tcPr>
          <w:p>
            <w:pPr>
              <w:jc w:val="right"/>
            </w:pPr>
            <w:r>
              <w:rPr/>
              <w:t>895,000.00</w:t>
            </w:r>
          </w:p>
        </w:tc>
        <w:tc>
          <w:tcPr>
            <w:tcW w:type="dxa" w:w="831"/>
          </w:tcPr>
          <w:p>
            <w:pPr>
              <w:jc w:val="right"/>
            </w:pPr>
            <w:r>
              <w:rPr/>
              <w:t>895,000.00</w:t>
            </w:r>
          </w:p>
        </w:tc>
        <w:tc>
          <w:tcPr>
            <w:tcW w:type="dxa" w:w="831"/>
          </w:tcPr>
          <w:p>
            <w:r>
              <w:rPr/>
              <w:t>工业</w:t>
            </w:r>
          </w:p>
        </w:tc>
        <w:tc>
          <w:tcPr>
            <w:tcW w:type="dxa" w:w="831"/>
          </w:tcPr>
          <w:p>
            <w:r>
              <w:rPr/>
              <w:t>详见附表一</w:t>
            </w:r>
          </w:p>
        </w:tc>
      </w:tr>
      <w:tr>
        <w:tc>
          <w:tcPr>
            <w:tcW w:type="dxa" w:w="831"/>
          </w:tcPr>
          <w:p>
            <w:pPr>
              <w:jc w:val="center"/>
            </w:pPr>
            <w:r>
              <w:rPr/>
              <w:t>2</w:t>
            </w:r>
          </w:p>
        </w:tc>
        <w:tc>
          <w:tcPr>
            <w:tcW w:type="dxa" w:w="831"/>
          </w:tcPr>
          <w:p>
            <w:pPr>
              <w:jc w:val="center"/>
            </w:pPr>
          </w:p>
        </w:tc>
        <w:tc>
          <w:tcPr>
            <w:tcW w:type="dxa" w:w="831"/>
          </w:tcPr>
          <w:p>
            <w:pPr>
              <w:jc w:val="left"/>
            </w:pPr>
            <w:r>
              <w:rPr/>
              <w:t>其他电气机械设备</w:t>
            </w:r>
          </w:p>
        </w:tc>
        <w:tc>
          <w:tcPr>
            <w:tcW w:type="dxa" w:w="831"/>
          </w:tcPr>
          <w:p>
            <w:pPr>
              <w:jc w:val="left"/>
            </w:pPr>
            <w:r>
              <w:rPr/>
              <w:t>人工智能计算机视觉实验平台</w:t>
            </w:r>
          </w:p>
        </w:tc>
        <w:tc>
          <w:tcPr>
            <w:tcW w:type="dxa" w:w="831"/>
          </w:tcPr>
          <w:p>
            <w:pPr>
              <w:jc w:val="left"/>
            </w:pPr>
            <w:r>
              <w:rPr/>
              <w:t>套</w:t>
            </w:r>
          </w:p>
        </w:tc>
        <w:tc>
          <w:tcPr>
            <w:tcW w:type="dxa" w:w="831"/>
          </w:tcPr>
          <w:p>
            <w:pPr>
              <w:jc w:val="right"/>
            </w:pPr>
            <w:r>
              <w:rPr/>
              <w:t>30.00</w:t>
            </w:r>
          </w:p>
        </w:tc>
        <w:tc>
          <w:tcPr>
            <w:tcW w:type="dxa" w:w="831"/>
          </w:tcPr>
          <w:p>
            <w:pPr>
              <w:jc w:val="right"/>
            </w:pPr>
            <w:r>
              <w:rPr/>
              <w:t>42,000.00</w:t>
            </w:r>
          </w:p>
        </w:tc>
        <w:tc>
          <w:tcPr>
            <w:tcW w:type="dxa" w:w="831"/>
          </w:tcPr>
          <w:p>
            <w:pPr>
              <w:jc w:val="right"/>
            </w:pPr>
            <w:r>
              <w:rPr/>
              <w:t>1,260,000.00</w:t>
            </w:r>
          </w:p>
        </w:tc>
        <w:tc>
          <w:tcPr>
            <w:tcW w:type="dxa" w:w="831"/>
          </w:tcPr>
          <w:p>
            <w:r>
              <w:rPr/>
              <w:t>工业</w:t>
            </w:r>
          </w:p>
        </w:tc>
        <w:tc>
          <w:tcPr>
            <w:tcW w:type="dxa" w:w="831"/>
          </w:tcPr>
          <w:p>
            <w:r>
              <w:rPr/>
              <w:t>详见附表二</w:t>
            </w:r>
          </w:p>
        </w:tc>
      </w:tr>
      <w:tr>
        <w:tc>
          <w:tcPr>
            <w:tcW w:type="dxa" w:w="831"/>
          </w:tcPr>
          <w:p>
            <w:pPr>
              <w:jc w:val="center"/>
            </w:pPr>
            <w:r>
              <w:rPr/>
              <w:t>3</w:t>
            </w:r>
          </w:p>
        </w:tc>
        <w:tc>
          <w:tcPr>
            <w:tcW w:type="dxa" w:w="831"/>
          </w:tcPr>
          <w:p>
            <w:pPr>
              <w:jc w:val="center"/>
            </w:pPr>
          </w:p>
        </w:tc>
        <w:tc>
          <w:tcPr>
            <w:tcW w:type="dxa" w:w="831"/>
          </w:tcPr>
          <w:p>
            <w:pPr>
              <w:jc w:val="left"/>
            </w:pPr>
            <w:r>
              <w:rPr/>
              <w:t>其他电气机械设备</w:t>
            </w:r>
          </w:p>
        </w:tc>
        <w:tc>
          <w:tcPr>
            <w:tcW w:type="dxa" w:w="831"/>
          </w:tcPr>
          <w:p>
            <w:pPr>
              <w:jc w:val="left"/>
            </w:pPr>
            <w:r>
              <w:rPr/>
              <w:t>移动机器人实训平台</w:t>
            </w:r>
          </w:p>
        </w:tc>
        <w:tc>
          <w:tcPr>
            <w:tcW w:type="dxa" w:w="831"/>
          </w:tcPr>
          <w:p>
            <w:pPr>
              <w:jc w:val="left"/>
            </w:pPr>
            <w:r>
              <w:rPr/>
              <w:t>套</w:t>
            </w:r>
          </w:p>
        </w:tc>
        <w:tc>
          <w:tcPr>
            <w:tcW w:type="dxa" w:w="831"/>
          </w:tcPr>
          <w:p>
            <w:pPr>
              <w:jc w:val="right"/>
            </w:pPr>
            <w:r>
              <w:rPr/>
              <w:t>2.00</w:t>
            </w:r>
          </w:p>
        </w:tc>
        <w:tc>
          <w:tcPr>
            <w:tcW w:type="dxa" w:w="831"/>
          </w:tcPr>
          <w:p>
            <w:pPr>
              <w:jc w:val="right"/>
            </w:pPr>
            <w:r>
              <w:rPr/>
              <w:t>39,000.00</w:t>
            </w:r>
          </w:p>
        </w:tc>
        <w:tc>
          <w:tcPr>
            <w:tcW w:type="dxa" w:w="831"/>
          </w:tcPr>
          <w:p>
            <w:pPr>
              <w:jc w:val="right"/>
            </w:pPr>
            <w:r>
              <w:rPr/>
              <w:t>78,000.00</w:t>
            </w:r>
          </w:p>
        </w:tc>
        <w:tc>
          <w:tcPr>
            <w:tcW w:type="dxa" w:w="831"/>
          </w:tcPr>
          <w:p>
            <w:r>
              <w:rPr/>
              <w:t>工业</w:t>
            </w:r>
          </w:p>
        </w:tc>
        <w:tc>
          <w:tcPr>
            <w:tcW w:type="dxa" w:w="831"/>
          </w:tcPr>
          <w:p>
            <w:r>
              <w:rPr/>
              <w:t>详见附表三</w:t>
            </w:r>
          </w:p>
        </w:tc>
      </w:tr>
      <w:tr>
        <w:tc>
          <w:tcPr>
            <w:tcW w:type="dxa" w:w="831"/>
          </w:tcPr>
          <w:p>
            <w:pPr>
              <w:jc w:val="center"/>
            </w:pPr>
            <w:r>
              <w:rPr/>
              <w:t>4</w:t>
            </w:r>
          </w:p>
        </w:tc>
        <w:tc>
          <w:tcPr>
            <w:tcW w:type="dxa" w:w="831"/>
          </w:tcPr>
          <w:p>
            <w:pPr>
              <w:jc w:val="center"/>
            </w:pPr>
          </w:p>
        </w:tc>
        <w:tc>
          <w:tcPr>
            <w:tcW w:type="dxa" w:w="831"/>
          </w:tcPr>
          <w:p>
            <w:pPr>
              <w:jc w:val="left"/>
            </w:pPr>
            <w:r>
              <w:rPr/>
              <w:t>其他电气机械设备</w:t>
            </w:r>
          </w:p>
        </w:tc>
        <w:tc>
          <w:tcPr>
            <w:tcW w:type="dxa" w:w="831"/>
          </w:tcPr>
          <w:p>
            <w:pPr>
              <w:jc w:val="left"/>
            </w:pPr>
            <w:r>
              <w:rPr/>
              <w:t>集成管理平台</w:t>
            </w:r>
          </w:p>
        </w:tc>
        <w:tc>
          <w:tcPr>
            <w:tcW w:type="dxa" w:w="831"/>
          </w:tcPr>
          <w:p>
            <w:pPr>
              <w:jc w:val="left"/>
            </w:pPr>
            <w:r>
              <w:rPr/>
              <w:t>套</w:t>
            </w:r>
          </w:p>
        </w:tc>
        <w:tc>
          <w:tcPr>
            <w:tcW w:type="dxa" w:w="831"/>
          </w:tcPr>
          <w:p>
            <w:pPr>
              <w:jc w:val="right"/>
            </w:pPr>
            <w:r>
              <w:rPr/>
              <w:t>1.00</w:t>
            </w:r>
          </w:p>
        </w:tc>
        <w:tc>
          <w:tcPr>
            <w:tcW w:type="dxa" w:w="831"/>
          </w:tcPr>
          <w:p>
            <w:pPr>
              <w:jc w:val="right"/>
            </w:pPr>
            <w:r>
              <w:rPr/>
              <w:t>167,000.00</w:t>
            </w:r>
          </w:p>
        </w:tc>
        <w:tc>
          <w:tcPr>
            <w:tcW w:type="dxa" w:w="831"/>
          </w:tcPr>
          <w:p>
            <w:pPr>
              <w:jc w:val="right"/>
            </w:pPr>
            <w:r>
              <w:rPr/>
              <w:t>167,000.00</w:t>
            </w:r>
          </w:p>
        </w:tc>
        <w:tc>
          <w:tcPr>
            <w:tcW w:type="dxa" w:w="831"/>
          </w:tcPr>
          <w:p>
            <w:r>
              <w:rPr/>
              <w:t>工业</w:t>
            </w:r>
          </w:p>
        </w:tc>
        <w:tc>
          <w:tcPr>
            <w:tcW w:type="dxa" w:w="831"/>
          </w:tcPr>
          <w:p>
            <w:r>
              <w:rPr/>
              <w:t>详见附表四</w:t>
            </w:r>
          </w:p>
        </w:tc>
      </w:tr>
    </w:tbl>
    <w:p/>
    <w:p>
      <w:r>
        <w:rPr>
          <w:b/>
        </w:rPr>
        <w:t>附表</w:t>
      </w:r>
      <w:r>
        <w:rPr>
          <w:b/>
        </w:rPr>
        <w:t>一</w:t>
      </w:r>
      <w:r>
        <w:rPr>
          <w:b/>
        </w:rPr>
        <w:t>：</w:t>
      </w:r>
      <w:r>
        <w:rPr>
          <w:b/>
        </w:rPr>
        <w:t>人工智能训练师实训平台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详见第二章采购需求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二</w:t>
      </w:r>
      <w:r>
        <w:rPr>
          <w:b/>
        </w:rPr>
        <w:t>：</w:t>
      </w:r>
      <w:r>
        <w:rPr>
          <w:b/>
        </w:rPr>
        <w:t>人工智能计算机视觉实验平台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详见第二章采购需求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三</w:t>
      </w:r>
      <w:r>
        <w:rPr>
          <w:b/>
        </w:rPr>
        <w:t>：</w:t>
      </w:r>
      <w:r>
        <w:rPr>
          <w:b/>
        </w:rPr>
        <w:t>移动机器人实训平台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详见第二章采购需求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r>
        <w:rPr>
          <w:b/>
        </w:rPr>
        <w:t>附表</w:t>
      </w:r>
      <w:r>
        <w:rPr>
          <w:b/>
        </w:rPr>
        <w:t>四</w:t>
      </w:r>
      <w:r>
        <w:rPr>
          <w:b/>
        </w:rPr>
        <w:t>：</w:t>
      </w:r>
      <w:r>
        <w:rPr>
          <w:b/>
        </w:rPr>
        <w:t>集成管理平台</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t>详见第二章采购需求</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投标人须知</w:t>
      </w:r>
    </w:p>
    <w:p>
      <w:pPr>
        <w:ind w:firstLine="480"/>
      </w:pPr>
      <w:r>
        <w:rPr/>
        <w:t>投标人必须认真阅读招标文件中所有的事项、格式、条款和采购需求等。投标人没有按照招标文件要求提交全部资料，或者投标文件没有对招标文件在各方面都做出实质性响应的可能导致其投标无效或被拒绝。</w:t>
      </w:r>
    </w:p>
    <w:p>
      <w:pPr>
        <w:ind w:firstLine="480"/>
      </w:pPr>
      <w:r>
        <w:rPr/>
        <w:t>请注意：供应商需在投标文件截止时间前，将加密投标文件上传至云平台项目采购系统中并取得回执，逾期上传或错误方式投递送达将导致投标无效。</w:t>
      </w:r>
    </w:p>
    <w:p>
      <w:r>
        <w:rPr>
          <w:b/>
          <w:sz w:val="24"/>
        </w:rPr>
        <w:t>一、名词解释</w:t>
      </w:r>
    </w:p>
    <w:p>
      <w:pPr>
        <w:ind w:firstLine="480"/>
      </w:pPr>
      <w:r>
        <w:rPr/>
        <w:t>1.采购代理机构：本项目是指广州市政府采购中心，负责整个采购活动的组织，依法负责编制和发布招标文件，对招标文件拥有最终的解释权，不以任何身份出任评标委员会成员。</w:t>
      </w:r>
    </w:p>
    <w:p>
      <w:pPr>
        <w:ind w:firstLine="480"/>
      </w:pPr>
      <w:r>
        <w:rPr/>
        <w:t>2.采购人：本项目是指</w:t>
      </w:r>
      <w:r>
        <w:rPr/>
        <w:t>广州市公用事业技师学院</w:t>
      </w:r>
      <w:r>
        <w:rPr/>
        <w:t>，是采购活动当事人之一，负责项目的整体规划、技术方案可行性设计论证与实施，作为合同采购方（用户）的主体承担质疑回复、履行合同、验收与评价等义务。</w:t>
      </w:r>
    </w:p>
    <w:p>
      <w:pPr>
        <w:ind w:firstLine="480"/>
      </w:pPr>
      <w:r>
        <w:rPr/>
        <w:t>3.投标人：是指在云平台项目采购系统完成本项目投标登记并提交电子投标文件的供应商。</w:t>
      </w:r>
    </w:p>
    <w:p>
      <w:pPr>
        <w:ind w:firstLine="480"/>
      </w:pPr>
      <w:r>
        <w:rPr/>
        <w:t>4.“评标委员会”是指根据《中华人民共和国政府采购法》等法律法规规定，由采购人代表和有关专家组成以确定中标供应商或者推荐中标候选人的临时组织。</w:t>
      </w:r>
    </w:p>
    <w:p>
      <w:pPr>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ind w:firstLine="480"/>
      </w:pPr>
      <w:r>
        <w:rPr/>
        <w:t>6.招标文件：是指包括招标公告和招标文件及其补充、变更和澄清等一系列文件。</w:t>
      </w:r>
    </w:p>
    <w:p>
      <w:pPr>
        <w:ind w:firstLine="480"/>
      </w:pPr>
      <w:r>
        <w:rPr/>
        <w:t>7.电子投标文件：是指使用云平台提供的投标客户端制作加密并上传到系统的投标文件。（投标客户端制作投标文件时，生成的后缀为“.标书”的文件）</w:t>
      </w:r>
    </w:p>
    <w:p>
      <w:pPr>
        <w:ind w:firstLine="480"/>
      </w:pPr>
      <w:r>
        <w:rPr/>
        <w:t>8.备用电子投标文件：是指使用云平台提供的投标客户端制作电子投标文件时，同时生成的同一版本的备用投标文件。（投标客户端制作投标文件时，生成的后缀为“.备用标书”的文件）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本表与招标文件对应章节的内容若不一致，以本表为准。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r>
              <w:rPr/>
              <w:t>1</w:t>
            </w:r>
          </w:p>
        </w:tc>
        <w:tc>
          <w:tcPr>
            <w:tcW w:type="dxa" w:w="2252"/>
          </w:tcPr>
          <w:p>
            <w:r>
              <w:rPr/>
              <w:t>采购包情况</w:t>
            </w:r>
          </w:p>
        </w:tc>
        <w:tc>
          <w:tcPr>
            <w:tcW w:type="dxa" w:w="5004"/>
          </w:tcPr>
          <w:p>
            <w:r>
              <w:rPr/>
              <w:t>本项目共</w:t>
            </w:r>
            <w:r>
              <w:rPr/>
              <w:t>1</w:t>
            </w:r>
            <w:r>
              <w:rPr/>
              <w:t>个采购包</w:t>
            </w:r>
          </w:p>
        </w:tc>
      </w:tr>
      <w:tr>
        <w:tc>
          <w:tcPr>
            <w:tcW w:type="dxa" w:w="1051"/>
          </w:tcPr>
          <w:p>
            <w:r>
              <w:rPr/>
              <w:t>2</w:t>
            </w:r>
          </w:p>
        </w:tc>
        <w:tc>
          <w:tcPr>
            <w:tcW w:type="dxa" w:w="2252"/>
          </w:tcPr>
          <w:p>
            <w:r>
              <w:rPr/>
              <w:t>开标方式</w:t>
            </w:r>
          </w:p>
        </w:tc>
        <w:tc>
          <w:tcPr>
            <w:tcW w:type="dxa" w:w="5004"/>
          </w:tcPr>
          <w:p>
            <w:r>
              <w:rPr/>
              <w:t>远程电子开标</w:t>
            </w:r>
          </w:p>
        </w:tc>
      </w:tr>
      <w:tr>
        <w:tc>
          <w:tcPr>
            <w:tcW w:type="dxa" w:w="1051"/>
          </w:tcPr>
          <w:p>
            <w:r>
              <w:rPr/>
              <w:t>3</w:t>
            </w:r>
          </w:p>
        </w:tc>
        <w:tc>
          <w:tcPr>
            <w:tcW w:type="dxa" w:w="2252"/>
          </w:tcPr>
          <w:p>
            <w:r>
              <w:rPr/>
              <w:t>评标方式</w:t>
            </w:r>
          </w:p>
        </w:tc>
        <w:tc>
          <w:tcPr>
            <w:tcW w:type="dxa" w:w="5004"/>
          </w:tcPr>
          <w:p>
            <w:r>
              <w:rPr/>
              <w:t>现场电子评标</w:t>
            </w:r>
            <w:r>
              <w:rPr/>
              <w:t>（供应商应当审慎标记各评审项的应答部分，标记内容清晰且完整，否则将自行承担不利后果）</w:t>
            </w:r>
          </w:p>
        </w:tc>
      </w:tr>
      <w:tr>
        <w:tc>
          <w:tcPr>
            <w:tcW w:type="dxa" w:w="1051"/>
          </w:tcPr>
          <w:p>
            <w:r>
              <w:rPr/>
              <w:t>4</w:t>
            </w:r>
          </w:p>
        </w:tc>
        <w:tc>
          <w:tcPr>
            <w:tcW w:type="dxa" w:w="2252"/>
          </w:tcPr>
          <w:p>
            <w:r>
              <w:rPr/>
              <w:t>评标办法</w:t>
            </w:r>
          </w:p>
        </w:tc>
        <w:tc>
          <w:tcPr>
            <w:tcW w:type="dxa" w:w="5004"/>
          </w:tcPr>
          <w:p>
            <w:r>
              <w:rPr/>
              <w:t>采购包1：综合评分法</w:t>
            </w:r>
          </w:p>
        </w:tc>
      </w:tr>
      <w:tr>
        <w:tc>
          <w:tcPr>
            <w:tcW w:type="dxa" w:w="1051"/>
          </w:tcPr>
          <w:p>
            <w:r>
              <w:rPr/>
              <w:t>5</w:t>
            </w:r>
          </w:p>
        </w:tc>
        <w:tc>
          <w:tcPr>
            <w:tcW w:type="dxa" w:w="2252"/>
          </w:tcPr>
          <w:p>
            <w:r>
              <w:rPr/>
              <w:t>报价形式</w:t>
            </w:r>
          </w:p>
        </w:tc>
        <w:tc>
          <w:tcPr>
            <w:tcW w:type="dxa" w:w="5004"/>
          </w:tcPr>
          <w:p/>
          <w:p>
            <w:r>
              <w:rPr/>
              <w:t>采购包1：总价</w:t>
            </w:r>
          </w:p>
        </w:tc>
      </w:tr>
      <w:tr>
        <w:tc>
          <w:tcPr>
            <w:tcW w:type="dxa" w:w="1051"/>
          </w:tcPr>
          <w:p>
            <w:r>
              <w:rPr/>
              <w:t>6</w:t>
            </w:r>
          </w:p>
        </w:tc>
        <w:tc>
          <w:tcPr>
            <w:tcW w:type="dxa" w:w="2252"/>
          </w:tcPr>
          <w:p>
            <w:r>
              <w:rPr/>
              <w:t>报价要求</w:t>
            </w:r>
          </w:p>
        </w:tc>
        <w:tc>
          <w:tcPr>
            <w:tcW w:type="dxa" w:w="5004"/>
          </w:tcPr>
          <w:p>
            <w:r>
              <w:rPr/>
              <w:t>各采购包报价不超过预算总价</w:t>
            </w:r>
          </w:p>
        </w:tc>
      </w:tr>
      <w:tr>
        <w:tc>
          <w:tcPr>
            <w:tcW w:type="dxa" w:w="1051"/>
          </w:tcPr>
          <w:p>
            <w:r>
              <w:rPr/>
              <w:t>7</w:t>
            </w:r>
          </w:p>
        </w:tc>
        <w:tc>
          <w:tcPr>
            <w:tcW w:type="dxa" w:w="2252"/>
          </w:tcPr>
          <w:p>
            <w:r>
              <w:rPr/>
              <w:t>现场踏勘</w:t>
            </w:r>
          </w:p>
        </w:tc>
        <w:tc>
          <w:tcPr>
            <w:tcW w:type="dxa" w:w="5004"/>
          </w:tcPr>
          <w:p/>
          <w:p>
            <w:r>
              <w:rPr/>
              <w:t>否</w:t>
            </w:r>
          </w:p>
        </w:tc>
      </w:tr>
      <w:tr>
        <w:tc>
          <w:tcPr>
            <w:tcW w:type="dxa" w:w="1051"/>
          </w:tcPr>
          <w:p>
            <w:r>
              <w:rPr/>
              <w:t>8</w:t>
            </w:r>
          </w:p>
        </w:tc>
        <w:tc>
          <w:tcPr>
            <w:tcW w:type="dxa" w:w="2252"/>
          </w:tcPr>
          <w:p>
            <w:r>
              <w:rPr/>
              <w:t>投标有效期</w:t>
            </w:r>
          </w:p>
        </w:tc>
        <w:tc>
          <w:tcPr>
            <w:tcW w:type="dxa" w:w="5004"/>
          </w:tcPr>
          <w:p>
            <w:r>
              <w:rPr/>
              <w:t>从提交投标（响应）文件的截止之日起90日历天</w:t>
            </w:r>
          </w:p>
        </w:tc>
      </w:tr>
      <w:tr>
        <w:tc>
          <w:tcPr>
            <w:tcW w:type="dxa" w:w="1051"/>
          </w:tcPr>
          <w:p>
            <w:r>
              <w:rPr/>
              <w:t>9</w:t>
            </w:r>
          </w:p>
        </w:tc>
        <w:tc>
          <w:tcPr>
            <w:tcW w:type="dxa" w:w="2252"/>
          </w:tcPr>
          <w:p>
            <w:r>
              <w:rPr/>
              <w:t>投标保证金</w:t>
            </w:r>
          </w:p>
        </w:tc>
        <w:tc>
          <w:tcPr>
            <w:tcW w:type="dxa" w:w="5004"/>
          </w:tcPr>
          <w:p>
            <w:pPr>
              <w:ind w:firstLine="480"/>
            </w:p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pPr>
              <w:ind w:firstLine="480"/>
            </w:pPr>
            <w:r>
              <w:rPr/>
              <w:t>投标保证金有效期∶与投标有效期一致。</w:t>
            </w:r>
          </w:p>
          <w:p>
            <w:pPr>
              <w:ind w:firstLine="480"/>
            </w:pPr>
            <w:r>
              <w:rPr/>
              <w:t>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r>
              <w:rPr/>
              <w:t>10</w:t>
            </w:r>
          </w:p>
        </w:tc>
        <w:tc>
          <w:tcPr>
            <w:tcW w:type="dxa" w:w="2252"/>
          </w:tcPr>
          <w:p>
            <w:r>
              <w:rPr/>
              <w:t>投标文件要求</w:t>
            </w:r>
          </w:p>
        </w:tc>
        <w:tc>
          <w:tcPr>
            <w:tcW w:type="dxa" w:w="5004"/>
          </w:tcPr>
          <w:p>
            <w:pPr>
              <w:ind w:firstLine="480"/>
            </w:pPr>
            <w:r>
              <w:rPr>
                <w:b/>
              </w:rPr>
              <w:t>一、电子投标文件（必须提供）：</w:t>
            </w:r>
          </w:p>
          <w:p>
            <w:pPr>
              <w:ind w:firstLine="480"/>
            </w:pPr>
            <w:r>
              <w:rPr/>
              <w:t>（1）加密的电子投标文件 1 份（需在递交投标文件截止时间前成功上传至云平台项目采购系统）。</w:t>
            </w:r>
          </w:p>
          <w:p>
            <w:pPr>
              <w:ind w:firstLine="480"/>
            </w:pPr>
            <w:r>
              <w:rPr/>
              <w:t>（2）非加密电子版文件 U 盘(或光盘)</w:t>
            </w:r>
            <w:r>
              <w:rPr/>
              <w:t>0</w:t>
            </w:r>
            <w:r>
              <w:rPr/>
              <w:t>份，加密的电子投标文件与非加密的电子投标文件必须完全一致。</w:t>
            </w:r>
          </w:p>
          <w:p>
            <w:pPr>
              <w:ind w:firstLine="480"/>
            </w:pPr>
            <w:r>
              <w:rPr>
                <w:b/>
              </w:rPr>
              <w:t>非加密电子版投标文件使用情形:</w:t>
            </w:r>
            <w:r>
              <w:rPr/>
              <w:t>当无法使用 CA 证书在云平台项目采购系统进行电子投标文件开标解密时，供应商须在代理机构指引下启用非加密电子版投标文件。</w:t>
            </w:r>
          </w:p>
        </w:tc>
      </w:tr>
      <w:tr>
        <w:tc>
          <w:tcPr>
            <w:tcW w:type="dxa" w:w="1051"/>
          </w:tcPr>
          <w:p>
            <w:r>
              <w:rPr/>
              <w:t>11</w:t>
            </w:r>
          </w:p>
        </w:tc>
        <w:tc>
          <w:tcPr>
            <w:tcW w:type="dxa" w:w="2252"/>
          </w:tcPr>
          <w:p>
            <w:r>
              <w:rPr/>
              <w:t>中标候选供应商推荐家数</w:t>
            </w:r>
          </w:p>
        </w:tc>
        <w:tc>
          <w:tcPr>
            <w:tcW w:type="dxa" w:w="5004"/>
          </w:tcPr>
          <w:p>
            <w:r>
              <w:rPr/>
              <w:t>采购包1：</w:t>
            </w:r>
            <w:r>
              <w:rPr/>
              <w:t>2家</w:t>
            </w:r>
          </w:p>
        </w:tc>
      </w:tr>
      <w:tr>
        <w:tc>
          <w:tcPr>
            <w:tcW w:type="dxa" w:w="1051"/>
          </w:tcPr>
          <w:p>
            <w:r>
              <w:rPr/>
              <w:t>12</w:t>
            </w:r>
          </w:p>
        </w:tc>
        <w:tc>
          <w:tcPr>
            <w:tcW w:type="dxa" w:w="2252"/>
          </w:tcPr>
          <w:p>
            <w:pPr>
              <w:ind w:firstLine="480"/>
            </w:pPr>
            <w:r>
              <w:rPr/>
              <w:t>中标供应商数量</w:t>
            </w:r>
          </w:p>
        </w:tc>
        <w:tc>
          <w:tcPr>
            <w:tcW w:type="dxa" w:w="5004"/>
          </w:tcPr>
          <w:p>
            <w:pPr>
              <w:ind w:firstLine="480"/>
            </w:pPr>
          </w:p>
          <w:p>
            <w:r>
              <w:rPr/>
              <w:t>采购包1：</w:t>
            </w:r>
            <w:r>
              <w:rPr/>
              <w:t>1家</w:t>
            </w:r>
          </w:p>
          <w:p/>
        </w:tc>
      </w:tr>
      <w:tr>
        <w:tc>
          <w:tcPr>
            <w:tcW w:type="dxa" w:w="1051"/>
          </w:tcPr>
          <w:p>
            <w:r>
              <w:rPr/>
              <w:t>13</w:t>
            </w:r>
          </w:p>
        </w:tc>
        <w:tc>
          <w:tcPr>
            <w:tcW w:type="dxa" w:w="2252"/>
          </w:tcPr>
          <w:p>
            <w:pPr>
              <w:ind w:firstLine="480"/>
            </w:pPr>
            <w:r>
              <w:rPr/>
              <w:t>有效供应商家数</w:t>
            </w:r>
          </w:p>
        </w:tc>
        <w:tc>
          <w:tcPr>
            <w:tcW w:type="dxa" w:w="5004"/>
          </w:tcPr>
          <w:p>
            <w:pPr>
              <w:ind w:firstLine="480"/>
            </w:pPr>
          </w:p>
          <w:p>
            <w:pPr>
              <w:jc w:val="left"/>
            </w:pPr>
          </w:p>
          <w:p>
            <w:r>
              <w:rPr/>
              <w:t>采购包1：3家</w:t>
            </w:r>
          </w:p>
          <w:p/>
          <w:p>
            <w:pPr>
              <w:ind w:firstLine="480"/>
            </w:pPr>
            <w:r>
              <w:rPr/>
              <w:t>此人数约定了开标与评标过程中的最低有效供应商家数，当家数不足时项目将不得开标、不得评标或直接废标。</w:t>
            </w:r>
          </w:p>
        </w:tc>
      </w:tr>
      <w:tr>
        <w:tc>
          <w:tcPr>
            <w:tcW w:type="dxa" w:w="1051"/>
          </w:tcPr>
          <w:p>
            <w:r>
              <w:rPr/>
              <w:t>14</w:t>
            </w:r>
          </w:p>
        </w:tc>
        <w:tc>
          <w:tcPr>
            <w:tcW w:type="dxa" w:w="2252"/>
          </w:tcPr>
          <w:p>
            <w:r>
              <w:rPr/>
              <w:t>项目兼投兼中规则</w:t>
            </w:r>
          </w:p>
        </w:tc>
        <w:tc>
          <w:tcPr>
            <w:tcW w:type="dxa" w:w="5004"/>
          </w:tcPr>
          <w:p>
            <w:r>
              <w:rPr/>
              <w:t>兼投兼中：-</w:t>
            </w:r>
          </w:p>
        </w:tc>
      </w:tr>
      <w:tr>
        <w:tc>
          <w:tcPr>
            <w:tcW w:type="dxa" w:w="1051"/>
          </w:tcPr>
          <w:p>
            <w:r>
              <w:rPr/>
              <w:t>15</w:t>
            </w:r>
          </w:p>
        </w:tc>
        <w:tc>
          <w:tcPr>
            <w:tcW w:type="dxa" w:w="2252"/>
          </w:tcPr>
          <w:p>
            <w:r>
              <w:rPr/>
              <w:t>中标供应商确定方式</w:t>
            </w:r>
          </w:p>
        </w:tc>
        <w:tc>
          <w:tcPr>
            <w:tcW w:type="dxa" w:w="5004"/>
          </w:tcPr>
          <w:p>
            <w:r>
              <w:rPr/>
              <w:t>采购人按照评审报告中推荐的成交候选人确定中标（成交）人。</w:t>
            </w:r>
          </w:p>
        </w:tc>
      </w:tr>
      <w:tr>
        <w:tc>
          <w:tcPr>
            <w:tcW w:type="dxa" w:w="1051"/>
          </w:tcPr>
          <w:p>
            <w:r>
              <w:rPr/>
              <w:t>16</w:t>
            </w:r>
          </w:p>
        </w:tc>
        <w:tc>
          <w:tcPr>
            <w:tcW w:type="dxa" w:w="2252"/>
          </w:tcPr>
          <w:p>
            <w:r>
              <w:rPr/>
              <w:t>代理服务费</w:t>
            </w:r>
          </w:p>
        </w:tc>
        <w:tc>
          <w:tcPr>
            <w:tcW w:type="dxa" w:w="5004"/>
          </w:tcPr>
          <w:p>
            <w:r>
              <w:rPr/>
              <w:t>收取。</w:t>
            </w:r>
            <w:r>
              <w:rPr/>
              <w:t>采购机构代理服务收费标准： 1.不论投标的结果如何，投标人应承担所有与编写和提交投标文件有关的费用。2.采购人委托中标人支付公共资源交易服务费，其报价中须包含公共资源交易服务费。由中标人支付公共资源交易服务费后，采购人、中标人方可下载打印电子《中标通知书》。3.中标人可选用以下两种方式支付公共资源交易服务费：（1）现场支付：中标人携现金前往市政府采购中心大厅西侧建设银行天润路支行交款，交款后前往财务专窗办理支付确认。（2）汇款支付：中标人将公共资源交易服务费转账（汇款）至公共资源交易服务费结算账户（如下所示）后，到账后凭转账（汇款）凭证前往市政府采购中心大厅西侧建设银行天润路支行财务专窗办理支付确认或使用公共资源交易服务费转账凭证上传确认系统进行支付确认。公共资源交易服务费结算账户信息：收款单位：广州市政府采购中心，开户银行：中国建设银行广州天润路支行，账号：44050158340409202288（注：公共资源交易服务费增值税电子普通发票在项目结果公告发布之日开具，并向中标人的经办人手机号推送。中标人可凭上述经办人手机号在发票通网站“www.fapiao.com” 的Plus用户登录下载电子发票用于报账。使用汇款支付过程中，请在摘要或用途中注明项目编号交易服务费，例如：CZ2022-0001交易服务费。当交易服务费到账的银行回单中单位名称、应缴交易服务费金额、中标项目编号三项信息匹配都一致时，系统会自动进行支付确认。）4.公共资源交易服务费以采购额按差额定率累进法计算。详见《广州市政府采购中心关于代理采购类项目公共资源交易服务费收费标准的通知》（http://www.gzggzy.cn/jtgg/874864.jhtml）（注：本项目为纳入集中采购目录的项目，采购额为中标金额。）</w:t>
            </w:r>
          </w:p>
        </w:tc>
      </w:tr>
      <w:tr>
        <w:tc>
          <w:tcPr>
            <w:tcW w:type="dxa" w:w="1051"/>
          </w:tcPr>
          <w:p>
            <w:r>
              <w:rPr/>
              <w:t>17</w:t>
            </w:r>
          </w:p>
        </w:tc>
        <w:tc>
          <w:tcPr>
            <w:tcW w:type="dxa" w:w="2252"/>
          </w:tcPr>
          <w:p>
            <w:r>
              <w:rPr/>
              <w:t>代理服务费收取方式</w:t>
            </w:r>
          </w:p>
        </w:tc>
        <w:tc>
          <w:tcPr>
            <w:tcW w:type="dxa" w:w="5004"/>
          </w:tcPr>
          <w:p>
            <w:r>
              <w:rPr/>
              <w:t>向中标/成交供应商收取</w:t>
            </w:r>
          </w:p>
        </w:tc>
      </w:tr>
      <w:tr>
        <w:tc>
          <w:tcPr>
            <w:tcW w:type="dxa" w:w="1051"/>
          </w:tcPr>
          <w:p>
            <w:r>
              <w:rPr/>
              <w:t>18</w:t>
            </w:r>
          </w:p>
        </w:tc>
        <w:tc>
          <w:tcPr>
            <w:tcW w:type="dxa" w:w="2252"/>
          </w:tcPr>
          <w:p>
            <w:r>
              <w:rPr/>
              <w:t>其他</w:t>
            </w:r>
          </w:p>
        </w:tc>
        <w:tc>
          <w:tcPr>
            <w:tcW w:type="dxa" w:w="5004"/>
          </w:tcPr>
          <w:p>
            <w:pPr>
              <w:jc w:val="left"/>
            </w:pPr>
            <w:r>
              <w:rPr/>
              <w:t>信用评价，一、信用评价 （一）本项目商务评分部分的综合信用评价得分运用广州公共资源交易信用评价体系2.0政府采购信用评价分。参加投标之前，供应商应通过广州交易集团有限公司网站完成企业信用档案登记，并确认成功，以免出现企业信用评价分无法使用等情况。（供应商信用档案办理指引详见http://www.gzggzy.cn/qyxxd2/826779.jhtml，信用评价分计算的相关情况请参阅《广州公共资源交易政府采购领域信用评价体系2.0指标说明》，详见：https://gf.gzggzy.cn/gz1/M00/19/E0/CsUnsWDlEsuAVNPRAACVMSTpGpU57.docx?fileId=8a45a73279d69f24017a7edecd2a339c&amp;attname=%E5%B9%BF%E5%B7%9E%E5%85%AC%E5%85%B1%E8%B5%84%E6%BA%90%E4%BA%A4%E6%98%93%E6%94%BF%E5%BA%9C%E9%87%87%E8%B4%AD%E9%A2%86%E5%9F%9F%E4%BF%A1%E7%94%A8%E8%AF%84%E4%BB%B7%E4%BD%93%E7%B3%BB2.0%E6%8C%87%E6%A0%87%E8%AF%B4%E6%98%8E+%281%29.docx）。 （二）综合信用评价得分=投标人的广州公共资源交易信用评价（政府采购供应商信用评价分）×5%。 投标人的信用评价分以开标当天广州交易集团有限公司网站公布的分值为准（通过“广州交易集团有限公司网站-信用信息-广州公共资源交易信用平台2.0”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 二、履约评价 （一）采购人负责对中标人的履约行为进行评价，评价标准详见《广州公共资源交易政府采购领域信用评价体系2.0指标说明》（详见：https://gf.gzggzy.cn/gz1/M00/19/E0/CsUnsWDlEsuAVNPRAACVMSTpGpU57.docx?fileId=8a45a73279d69f24017a7edecd2a339c&amp;attname=%E5%B9%BF%E5%B7%9E%E5%85%AC%E5%85%B1%E8%B5%84%E6%BA%90%E4%BA%A4%E6%98%93%E6%94%BF%E5%BA%9C%E9%87%87%E8%B4%AD%E9%A2%86%E5%9F%9F%E4%BF%A1%E7%94%A8%E8%AF%84%E4%BB%B7%E4%BD%93%E7%B3%BB2.0%E6%8C%87%E6%A0%87%E8%AF%B4%E6%98%8E+%281%29.docx）。采购人凭CA数字证书登录广州交易集团有限公司数字交易平台，选择需评价的项目，根据中标人履约的实际情况逐项进行评价。 （二）评价结果会影响供应商的综合信用评价得分。供应商对其评价情况有异议的，可向采购人反映，采购人应当检查有关评价情况并答复异议人，如有错误，应当修正。异议人对采购人的答复不服的，可向市、区财政局反映，市、区财政局调查后发现确有错误的，有权要求采购人纠正。 三、关于提供前期服务的供应商 为采购项目提供整体设计、规范编制或者项目管理、监理、检测等服务的供应商，不得再参加该采购项目的其他采购活动。</w:t>
            </w:r>
          </w:p>
        </w:tc>
      </w:tr>
      <w:tr>
        <w:tc>
          <w:tcPr>
            <w:tcW w:type="dxa" w:w="1051"/>
          </w:tcPr>
          <w:p>
            <w:r>
              <w:rPr/>
              <w:t>19</w:t>
            </w:r>
          </w:p>
        </w:tc>
        <w:tc>
          <w:tcPr>
            <w:tcW w:type="dxa" w:w="2252"/>
          </w:tcPr>
          <w:p>
            <w:r>
              <w:rPr/>
              <w:t>开标解密时长</w:t>
            </w:r>
          </w:p>
        </w:tc>
        <w:tc>
          <w:tcPr>
            <w:tcW w:type="dxa" w:w="5004"/>
          </w:tcPr>
          <w:p>
            <w:r>
              <w:rPr/>
              <w:t>1小时</w:t>
            </w:r>
          </w:p>
          <w:p>
            <w:r>
              <w:rPr/>
              <w:t>说明：具体情况根据开标时现场代理机构人员设置为准</w:t>
            </w:r>
          </w:p>
        </w:tc>
      </w:tr>
      <w:tr>
        <w:tc>
          <w:tcPr>
            <w:tcW w:type="dxa" w:w="1051"/>
          </w:tcPr>
          <w:p>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采购人、采购代理机构及投标人进行的本次采购活动适用《中华人民共和国政府采购法》及其配套的法规、规章、政策。</w:t>
      </w:r>
    </w:p>
    <w:p>
      <w:pPr>
        <w:ind w:firstLine="480"/>
      </w:pPr>
      <w:r>
        <w:rPr/>
        <w:t>投标人应仔细阅读本项目招标公告及招标文件的所有内容（包括变更、补充、澄清以及修改等，且均为招标文件的组成部分），按照招标文件要求以及格式编制投标文件，并保证其真实性，否则一切后果自负。</w:t>
      </w:r>
    </w:p>
    <w:p>
      <w:pPr>
        <w:ind w:firstLine="480"/>
      </w:pPr>
      <w:r>
        <w:rPr/>
        <w:t>本次公开招标项目，是以招标公告的方式邀请非特定的投标人参加投标。</w:t>
      </w:r>
    </w:p>
    <w:p>
      <w:r>
        <w:rPr>
          <w:b/>
          <w:sz w:val="24"/>
        </w:rPr>
        <w:t>2.适用范围</w:t>
      </w:r>
    </w:p>
    <w:p>
      <w:pPr>
        <w:ind w:firstLine="480"/>
      </w:pPr>
      <w:r>
        <w:rPr/>
        <w:t>本招标文件仅适用于本次招标公告中所涉及的项目和内容。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4.投标的费用</w:t>
      </w:r>
    </w:p>
    <w:p>
      <w:pPr>
        <w:ind w:firstLine="480"/>
      </w:pPr>
      <w:r>
        <w:rPr/>
        <w:t>不论投标结果如何，投标人应承担所有与准备和参加投标有关的费用。采购代理机构和采购人均无义务和责任承担相关费用。</w:t>
      </w:r>
    </w:p>
    <w:p>
      <w:r>
        <w:rPr>
          <w:b/>
          <w:sz w:val="24"/>
        </w:rPr>
        <w:t>5.以联合体形式投标的，应符合以下规定：</w:t>
      </w:r>
    </w:p>
    <w:p>
      <w:pPr>
        <w:ind w:firstLine="480"/>
      </w:pPr>
      <w:r>
        <w:rPr/>
        <w:t>5.1联合体各方均应当满足《中华人民共和国政府采购法》第二十二条规定的条件，并在投标文件中提供联合体各方的相关证明材料。</w:t>
      </w:r>
    </w:p>
    <w:p>
      <w:pPr>
        <w:ind w:firstLine="480"/>
      </w:pPr>
      <w:r>
        <w:rPr/>
        <w:t>5.2</w:t>
        <w:tab/>
        <w:tab/>
        <w:t xml:space="preserve">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ind w:firstLine="480"/>
      </w:pPr>
      <w:r>
        <w:rPr/>
        <w:t>5.3</w:t>
        <w:tab/>
        <w:tab/>
        <w:t xml:space="preserve">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6.关联企业投标说明</w:t>
      </w:r>
    </w:p>
    <w:p>
      <w:pPr>
        <w:ind w:firstLine="480"/>
      </w:pPr>
      <w:r>
        <w:rPr/>
        <w:t>6.1</w:t>
        <w:tab/>
        <w:tab/>
        <w:t xml:space="preserve"> 对于不接受联合体投标的采购项目（采购包）：法定代表人或单位负责人为同一个人或者存在直接控股、管理关系的不同供应商，不得同时参加同一项目或同一采购包的投标。如同时参加，则其投标将被拒绝。</w:t>
      </w:r>
    </w:p>
    <w:p>
      <w:pPr>
        <w:ind w:firstLine="480"/>
      </w:pPr>
      <w:r>
        <w:rPr/>
        <w:t>6.2</w:t>
        <w:tab/>
        <w:tab/>
        <w:t xml:space="preserve">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r>
        <w:rPr>
          <w:b/>
          <w:sz w:val="24"/>
        </w:rPr>
        <w:t>7.关于中小微企业投标</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ind w:firstLine="480"/>
      </w:pPr>
      <w:r>
        <w:rPr/>
        <w:t>8.2在确定中标供应商之前，投标人不得与采购人就投标价格、投标方案等实质性内容进行谈判，也不得私下接触评标委员会成员。</w:t>
      </w:r>
    </w:p>
    <w:p>
      <w:pPr>
        <w:ind w:firstLine="480"/>
      </w:pPr>
      <w:r>
        <w:rPr/>
        <w:t>8.3在确定中标供应商之前，投标人试图在投标文件审查、澄清、比较和评价时对评标委员会、采购人和采购代理机构施加任何影响都可能导致其投标无效。</w:t>
      </w:r>
    </w:p>
    <w:p>
      <w:pPr>
        <w:ind w:firstLine="480"/>
      </w:pPr>
      <w:r>
        <w:rPr/>
        <w:t>8.4获得本招标文件者，须履行本项目下保密义务，不得将因本次项目获得的信息向第三人外传，不得将招标文件用作本次投标以外的任何用途。</w:t>
      </w:r>
    </w:p>
    <w:p>
      <w:pPr>
        <w:ind w:firstLine="480"/>
      </w:pPr>
      <w:r>
        <w:rPr/>
        <w:t>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ind w:firstLine="480"/>
      </w:pPr>
      <w:r>
        <w:rPr/>
        <w:t>8.6采购人或采购代理机构有权将供应商提供的所有资料向有关政府部门或评审小组披露。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9.2除非招标文件的技术规格中另有规定，投标人在投标文件中及其与采购人和采购代理机构的所有往来文件中的计量单位均应采用中华人民共和国法定计量单位。</w:t>
      </w:r>
    </w:p>
    <w:p>
      <w:pPr>
        <w:ind w:firstLine="480"/>
      </w:pPr>
      <w:r>
        <w:rPr/>
        <w:t>9.3投标人所提供的货物和服务均应以人民币报价，货币单位：元。</w:t>
      </w:r>
    </w:p>
    <w:p>
      <w:r>
        <w:rPr>
          <w:b/>
          <w:sz w:val="24"/>
        </w:rPr>
        <w:t>10. 现场踏勘（如有）</w:t>
      </w:r>
    </w:p>
    <w:p>
      <w:pPr>
        <w:ind w:firstLine="480"/>
      </w:pPr>
      <w:r>
        <w:rPr/>
        <w:t>10.1招标文件规定组织踏勘现场的，采购人按招标文件规定的时间、地点组织投标人踏勘项目现场。</w:t>
      </w:r>
    </w:p>
    <w:p>
      <w:pPr>
        <w:ind w:firstLine="480"/>
      </w:pPr>
      <w:r>
        <w:rPr/>
        <w:t>10.2投标人自行承担踏勘现场发生的责任、风险和自身费用。</w:t>
      </w:r>
    </w:p>
    <w:p>
      <w:pPr>
        <w:ind w:firstLine="480"/>
      </w:pPr>
      <w:r>
        <w:rPr/>
        <w:t>10.3采购人在踏勘现场中介绍的资料和数据等，只是为了使投标人能够利用招标人现有的资料。招标人对投标人由此而作出的推论、解释和结论概不负责。</w:t>
      </w:r>
    </w:p>
    <w:p>
      <w:r>
        <w:rPr>
          <w:b/>
          <w:sz w:val="24"/>
        </w:rPr>
        <w:t>11.关于分支机构投标</w:t>
      </w:r>
    </w:p>
    <w:p>
      <w:pPr>
        <w:ind w:firstLine="480"/>
      </w:pPr>
      <w:r>
        <w:rPr/>
        <w:t>对接受分支机构投标的项目，分支机构投标的，须提供分支机构的营业执照（执业许可证）扫描件及总公司（总所）出具给分支机构的授权书，授权书须加盖总公司（总所）公章。总公司（总所）可就本项目或此类项目在一定范围或时间内出具授权书。已由总公司（总所）授权的，总公司（总所）取得的相关资质证书对分支机构有效，法律法规或者行业另有规定的除外。依法设立登记的分支机构以自己的名义参加政府采购活动，产生的民事责任由法人承担。（保险类项目则为：本项目只接受保险分公司或中心支公司以上的保险机构投标；分公司或中心支公司的保险机构投标的，还须提供分公司或中心支公司的保险机构的营业执照。依法设立登记的分支机构以自己的名义参加政府采购活动，产生的民事责任由法人承担。 ）</w:t>
      </w:r>
    </w:p>
    <w:p>
      <w:r>
        <w:rPr>
          <w:b/>
          <w:sz w:val="28"/>
        </w:rPr>
        <w:t>四、招标文件的澄清和修改</w:t>
      </w:r>
    </w:p>
    <w:p>
      <w:pPr>
        <w:ind w:firstLine="480"/>
      </w:pPr>
      <w:r>
        <w:rPr/>
        <w:t>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ind w:firstLine="480"/>
      </w:pPr>
      <w:r>
        <w:rPr/>
        <w:t>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ind w:firstLine="480"/>
      </w:pPr>
      <w:r>
        <w:rPr/>
        <w:t>3.如更正公告有重新发布电子招标文件的，供应商应登录云平台项目采购系统下载最新发布的电子招标文件制作投标文件。</w:t>
      </w:r>
    </w:p>
    <w:p>
      <w:pPr>
        <w:ind w:firstLine="480"/>
      </w:pPr>
      <w:r>
        <w:rPr/>
        <w:t>4.投标人在规定的时间内未对招标文件提出疑问、质疑或要求澄清的，将视其为无异议。对招标文件中描述有歧义或前后不一致的地方，评标委员会有权进行评判，但对同一条款的评判应适用于每个投标人。</w:t>
      </w:r>
    </w:p>
    <w:p>
      <w:r>
        <w:rPr>
          <w:b/>
          <w:sz w:val="28"/>
        </w:rPr>
        <w:t>五、投标要求</w:t>
      </w:r>
    </w:p>
    <w:p>
      <w:r>
        <w:rPr>
          <w:b/>
          <w:sz w:val="24"/>
        </w:rPr>
        <w:t>1.投标登记</w:t>
      </w:r>
    </w:p>
    <w:p>
      <w:pPr>
        <w:ind w:firstLine="480"/>
      </w:pPr>
      <w:r>
        <w:rPr/>
        <w:t>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r>
        <w:rPr>
          <w:b/>
          <w:sz w:val="24"/>
        </w:rPr>
        <w:t>2.投标文件的制作</w:t>
      </w:r>
    </w:p>
    <w:p>
      <w:pPr>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ind w:firstLine="480"/>
      </w:pPr>
      <w:r>
        <w:rPr/>
        <w:t>2.2投标人应使用云平台提供的投标客户端编制、标记、加密投标文件，成功加密后将生成指定格式的电子投标文件和电子备用投标文件。所有投标文件不能进行压缩处理。关于电子投标报价（如有报价）说明如下：</w:t>
      </w:r>
    </w:p>
    <w:p>
      <w:pPr>
        <w:ind w:firstLine="480"/>
      </w:pPr>
      <w:r>
        <w:rPr/>
        <w:t>(1)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ind w:firstLine="480"/>
      </w:pPr>
      <w:r>
        <w:rPr/>
        <w:t>(2)投标报价包括本项目采购需求和投入使用的所有费用，包括但不限于主件、标准附件、备品备件、施工、服务、专用工具、安装、调试、检验、培训、运输、保险、税款等。</w:t>
      </w:r>
    </w:p>
    <w:p>
      <w:pPr>
        <w:ind w:firstLine="480"/>
      </w:pPr>
      <w:r>
        <w:rPr/>
        <w:t>2.3 如有对多个采购包投标的，要对每个采购包独立制作电子投标文件。</w:t>
      </w:r>
    </w:p>
    <w:p>
      <w:pPr>
        <w:ind w:firstLine="480"/>
      </w:pPr>
      <w:r>
        <w:rPr/>
        <w:t>2.4投标人不得将同一个项目或同一个采购包的内容拆开投标，否则其报价将被视为非实质性响应。</w:t>
      </w:r>
    </w:p>
    <w:p>
      <w:pPr>
        <w:ind w:firstLine="480"/>
      </w:pPr>
      <w:r>
        <w:rPr/>
        <w:t>2.5投标人须对招标文件的对应要求给予唯一的实质性响应，否则将视为不响应。</w:t>
      </w:r>
    </w:p>
    <w:p>
      <w:pPr>
        <w:ind w:firstLine="480"/>
      </w:pPr>
      <w:r>
        <w:rPr/>
        <w:t>2.6招标文件中，凡标有“★”的地方均为实质性响应条款，投标人若有一项带“★”的条款未响应或不满足，将按无效投标处理。</w:t>
      </w:r>
    </w:p>
    <w:p>
      <w:pPr>
        <w:ind w:firstLine="480"/>
      </w:pPr>
      <w:r>
        <w:rPr/>
        <w:t>2.7投标人必须按招标文件指定的格式填写各种报价，各报价应计算正确。除在招标文件另有规定外（如：报折扣、报优惠率等），计量单位应使用中华人民共和国法定计量单位，以人民币填报所有报价。</w:t>
      </w:r>
    </w:p>
    <w:p>
      <w:pPr>
        <w:ind w:firstLine="480"/>
      </w:pPr>
      <w:r>
        <w:rPr/>
        <w:t>2.8投标文件以及投标人与采购人、代理机构就有关投标的往来函电均应使用中文。投标人提交的支持性文件和印制的文件可以用另一种语言，但相应内容应翻译成中文，在解释投标文件时以中文文本为准。</w:t>
      </w:r>
    </w:p>
    <w:p>
      <w:pPr>
        <w:ind w:firstLine="480"/>
      </w:pPr>
      <w:r>
        <w:rPr/>
        <w:t>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3.投标文件的提交</w:t>
      </w:r>
    </w:p>
    <w:p>
      <w:pPr>
        <w:ind w:firstLine="480"/>
      </w:pPr>
      <w:r>
        <w:rPr/>
        <w:t>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ind w:firstLine="480"/>
      </w:pPr>
      <w:r>
        <w:rPr/>
        <w:t>3.2代理机构对因不可抗力事件造成的投标文件的损坏、丢失的，不承担责任。</w:t>
      </w:r>
    </w:p>
    <w:p>
      <w:pPr>
        <w:ind w:firstLine="480"/>
      </w:pPr>
      <w:r>
        <w:rPr/>
        <w:t>3.3出现下述情形之一，属于未成功提交投标文件，按无效投标处理：</w:t>
      </w:r>
    </w:p>
    <w:p>
      <w:pPr>
        <w:ind w:firstLine="480"/>
      </w:pPr>
      <w:r>
        <w:rPr/>
        <w:t>（1）至提交投标文件截止时，投标文件未完整上传的。</w:t>
      </w:r>
    </w:p>
    <w:p>
      <w:pPr>
        <w:ind w:firstLine="480"/>
      </w:pPr>
      <w:r>
        <w:rPr/>
        <w:t>（2）投标文件未按投标格式中注明需签字盖章的要求进行签名（含电子签名）和加盖电子印章，或签名（含电子签名）或电子印章不完整的。</w:t>
      </w:r>
    </w:p>
    <w:p>
      <w:pPr>
        <w:ind w:firstLine="480"/>
      </w:pPr>
      <w:r>
        <w:rPr/>
        <w:t>（3）投标文件损坏或格式不正确的。</w:t>
      </w:r>
    </w:p>
    <w:p>
      <w:r>
        <w:rPr>
          <w:b/>
          <w:sz w:val="24"/>
        </w:rPr>
        <w:t>4.投标文件的修改、撤回与撤销</w:t>
      </w:r>
    </w:p>
    <w:p>
      <w:pPr>
        <w:ind w:firstLine="480"/>
      </w:pPr>
      <w:r>
        <w:rPr/>
        <w:t>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ind w:firstLine="480"/>
      </w:pPr>
      <w:r>
        <w:rPr/>
        <w:t>4.2在提交投标文件截止时间后，投标人不得补充、修改和更换投标文件。</w:t>
      </w:r>
    </w:p>
    <w:p>
      <w:r>
        <w:rPr>
          <w:b/>
          <w:sz w:val="24"/>
        </w:rPr>
        <w:t>5.投标文件的解密</w:t>
      </w:r>
    </w:p>
    <w:p>
      <w:pPr>
        <w:ind w:firstLine="480"/>
      </w:pPr>
      <w:r>
        <w:rPr/>
        <w:t>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r>
        <w:rPr>
          <w:b/>
          <w:sz w:val="24"/>
        </w:rPr>
        <w:t>6.投标保证金</w:t>
      </w:r>
    </w:p>
    <w:p>
      <w:pPr>
        <w:ind w:firstLine="480"/>
      </w:pPr>
      <w:r>
        <w:rPr/>
        <w:t>本项目不收取投标保证金</w:t>
      </w:r>
    </w:p>
    <w:p>
      <w:r>
        <w:rPr>
          <w:b/>
          <w:sz w:val="24"/>
        </w:rPr>
        <w:t>7.投标有效期</w:t>
      </w:r>
    </w:p>
    <w:p>
      <w:pPr>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ind w:firstLine="480"/>
      </w:pPr>
      <w:r>
        <w:rPr/>
        <w:t>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r>
        <w:rPr>
          <w:b/>
          <w:sz w:val="24"/>
        </w:rPr>
        <w:t>8.样品（演示）</w:t>
      </w:r>
    </w:p>
    <w:p>
      <w:pPr>
        <w:ind w:firstLine="480"/>
      </w:pPr>
      <w:r>
        <w:rPr/>
        <w:t>8.1招标文件规定投标人提交样品的，样品属于投标文件的组成部分。样品的生产、运输、安装、保全等一切费用由投标人自理。</w:t>
      </w:r>
    </w:p>
    <w:p>
      <w:pPr>
        <w:ind w:firstLine="480"/>
      </w:pPr>
      <w:r>
        <w:rPr/>
        <w:t>8.2投标截止时间前，投标人应将样品送达至指定地点。若需要现场演示的，投标人应提前做好演示准备（包括演示设备）。</w:t>
      </w:r>
    </w:p>
    <w:p>
      <w:pPr>
        <w:ind w:firstLine="480"/>
      </w:pPr>
      <w:r>
        <w:rPr/>
        <w:t>8.3采购结果公告发布后，中标供应商的样品由采购人封存，作为履约验收的依据之一。未中标供应商在接到采购代理机构通知后，应按规定时间尽快自行取回样品，否则视同供应商不再认领，代理机构有权进行处理。</w:t>
      </w:r>
    </w:p>
    <w:p>
      <w:r>
        <w:rPr>
          <w:b/>
          <w:sz w:val="24"/>
        </w:rPr>
        <w:t>9.除招标文件另有规定外，有下列情形之一的，投标无效：</w:t>
      </w:r>
    </w:p>
    <w:p>
      <w:pPr>
        <w:ind w:firstLine="480"/>
      </w:pPr>
      <w:r>
        <w:rPr/>
        <w:t>9.1投标文件未按照招标文件要求签署、盖章；</w:t>
      </w:r>
    </w:p>
    <w:p>
      <w:pPr>
        <w:ind w:firstLine="480"/>
      </w:pPr>
      <w:r>
        <w:rPr/>
        <w:t>9.2不符合招标文件中规定的资格要求；</w:t>
      </w:r>
    </w:p>
    <w:p>
      <w:pPr>
        <w:ind w:firstLine="480"/>
      </w:pPr>
      <w:r>
        <w:rPr/>
        <w:t>9.3投标报价超过招标文件中规定的预算金额或最高限价；</w:t>
      </w:r>
    </w:p>
    <w:p>
      <w:pPr>
        <w:ind w:firstLine="480"/>
      </w:pPr>
      <w:r>
        <w:rPr/>
        <w:t>9.4投标文件含有采购人不能接受的附加条件；</w:t>
      </w:r>
    </w:p>
    <w:p>
      <w:pPr>
        <w:ind w:firstLine="480"/>
      </w:pPr>
      <w:r>
        <w:rPr/>
        <w:t>9.5有关法律、法规和规章及招标文件规定的其他无效情形。</w:t>
      </w:r>
    </w:p>
    <w:p>
      <w:r>
        <w:rPr>
          <w:b/>
          <w:sz w:val="28"/>
        </w:rPr>
        <w:t>六、开标、评标和定标</w:t>
      </w:r>
    </w:p>
    <w:p>
      <w:r>
        <w:rPr>
          <w:b/>
          <w:sz w:val="24"/>
        </w:rPr>
        <w:t>1.开标</w:t>
      </w:r>
    </w:p>
    <w:p>
      <w:pPr>
        <w:ind w:firstLine="480"/>
      </w:pPr>
      <w:r>
        <w:rPr/>
        <w:t>1.1 开标程序</w:t>
      </w:r>
    </w:p>
    <w:p>
      <w:pPr>
        <w:ind w:firstLine="480"/>
      </w:pPr>
      <w:r>
        <w:rPr/>
        <w:t>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ind w:firstLine="480"/>
      </w:pPr>
      <w:r>
        <w:rPr/>
        <w:t>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ind w:firstLine="480"/>
      </w:pPr>
      <w:r>
        <w:rPr/>
        <w:t>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ind w:firstLine="480"/>
      </w:pPr>
      <w:r>
        <w:rPr/>
        <w:t>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ind w:firstLine="480"/>
      </w:pPr>
      <w:r>
        <w:rPr/>
        <w:t>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ind w:firstLine="480"/>
      </w:pPr>
      <w:r>
        <w:rPr/>
        <w:t>1.2开标异议</w:t>
      </w:r>
    </w:p>
    <w:p>
      <w:pPr>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ind w:firstLine="480"/>
      </w:pPr>
      <w:r>
        <w:rPr/>
        <w:t>1.3 投标截止时间后，投标人不足须知前附表中约定的有效供应商家数的，不得开标。同时，本次采购活动结束。</w:t>
      </w:r>
    </w:p>
    <w:p>
      <w:pPr>
        <w:ind w:firstLine="480"/>
      </w:pPr>
      <w:r>
        <w:rPr/>
        <w:t>1.4开标时出现下列情况的，视为投标无效处理：</w:t>
      </w:r>
    </w:p>
    <w:p>
      <w:pPr>
        <w:ind w:firstLine="480"/>
      </w:pPr>
      <w:r>
        <w:rPr/>
        <w:t>（1）经检查数字证书无效的；</w:t>
      </w:r>
    </w:p>
    <w:p>
      <w:pPr>
        <w:ind w:firstLine="480"/>
      </w:pPr>
      <w:r>
        <w:rPr/>
        <w:t>（2）因投标人自身原因，未在规定时间内完成电子投标文件解密的；</w:t>
      </w:r>
    </w:p>
    <w:p>
      <w:pPr>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r>
        <w:rPr>
          <w:b/>
          <w:sz w:val="24"/>
        </w:rPr>
        <w:t>2.评审（详见第四章）</w:t>
      </w:r>
    </w:p>
    <w:p>
      <w:r>
        <w:rPr>
          <w:b/>
          <w:sz w:val="24"/>
        </w:rPr>
        <w:t>3.定标</w:t>
      </w:r>
    </w:p>
    <w:p>
      <w:pPr>
        <w:ind w:firstLine="480"/>
      </w:pPr>
      <w:r>
        <w:rPr/>
        <w:t>3.1中标公告：</w:t>
      </w:r>
    </w:p>
    <w:p>
      <w:pPr>
        <w:ind w:firstLine="480"/>
      </w:pPr>
      <w:r>
        <w:rPr/>
        <w:t>中标供应商确定之日起2个工作日内，</w:t>
        <w:tab/>
        <w:tab/>
        <w:t xml:space="preserve"> 采购人或采购代理机构将在中国政府采购网(www.ccgp.gov.cn)、广东省政府采购网(https://gdgpo.czt.gd.gov.cn/)</w:t>
      </w:r>
      <w:r>
        <w:rPr/>
        <w:t>广州交易集团有限公司（http://www.gzggzy.cn）</w:t>
      </w:r>
      <w:r>
        <w:rPr/>
        <w:t>上以公告的形式发布中标结果，中标公告的公告期限为 1</w:t>
        <w:tab/>
        <w:tab/>
        <w:t xml:space="preserve"> 个工作日。中标公告同时作为采购代理机构通知除中标供应商外的其他投标人没有中标的书面形式，采购代理机构不再以其它方式另行通知。</w:t>
      </w:r>
    </w:p>
    <w:p>
      <w:pPr>
        <w:ind w:firstLine="480"/>
      </w:pPr>
      <w:r>
        <w:rPr/>
        <w:t>3.2中标通知书：</w:t>
      </w:r>
    </w:p>
    <w:p>
      <w:pPr>
        <w:ind w:firstLine="480"/>
      </w:pPr>
      <w:r>
        <w:rPr/>
        <w:t>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r>
        <w:rPr/>
        <w:t>3.3项目废标处理：</w:t>
      </w:r>
    </w:p>
    <w:p>
      <w:pPr>
        <w:ind w:firstLine="480"/>
      </w:pPr>
      <w:r>
        <w:rPr/>
        <w:t>根据《中华人民共和国政府采购法》第三十六条及招标文件的约定，本项目或分包下列情况出现将作废标处理：</w:t>
      </w:r>
    </w:p>
    <w:p>
      <w:pPr>
        <w:ind w:firstLine="480"/>
      </w:pPr>
      <w:r>
        <w:rPr/>
        <w:t>（1）符合专业资格条件的投标人或者对招标文件作实质响应的有效投标人不足三家的（说明：使用综合评分法的采购项目，提供相同品牌产品且通过资格审查、符合性审查的不同投标人参加同一合同项下投标的，按一家投标人计算） 。</w:t>
      </w:r>
    </w:p>
    <w:p>
      <w:pPr>
        <w:ind w:firstLine="480"/>
      </w:pPr>
      <w:r>
        <w:rPr/>
        <w:t>（2）出现影响采购公正的违法、违规行为的。</w:t>
      </w:r>
    </w:p>
    <w:p>
      <w:pPr>
        <w:ind w:firstLine="480"/>
      </w:pPr>
      <w:r>
        <w:rPr/>
        <w:t>（3）投标人的报价均超过了采购预算，采购人不能支付的。</w:t>
      </w:r>
    </w:p>
    <w:p>
      <w:pPr>
        <w:ind w:firstLine="480"/>
      </w:pPr>
      <w:r>
        <w:rPr/>
        <w:t>（4）因重大变故，采购任务取消的。</w:t>
      </w:r>
    </w:p>
    <w:p>
      <w:pPr>
        <w:ind w:firstLine="480"/>
      </w:pPr>
      <w:r>
        <w:rPr/>
        <w:t>对废标的采购项目，评标委员会应出具采购文件是否存在不合理条款的论证意见。</w:t>
      </w:r>
    </w:p>
    <w:p/>
    <w:p>
      <w:pPr>
        <w:ind w:firstLine="480"/>
      </w:pPr>
      <w:r>
        <w:rPr/>
        <w:t>3.4终止公告：</w:t>
      </w:r>
    </w:p>
    <w:p>
      <w:pPr>
        <w:ind w:firstLine="480"/>
      </w:pPr>
      <w:r>
        <w:rPr/>
        <w:t>项目废标后，采购人或采购代理机构将在中国政府采购网(www.ccgp.gov.cn)、广东省政府采购网(https://gdgpo.czt.gd.gov.cn/)、</w:t>
      </w:r>
      <w:r>
        <w:rPr/>
        <w:t>广州交易集团有限公司（http://www.gzggzy.cn）</w:t>
      </w:r>
      <w:r>
        <w:rPr/>
        <w:t>上发布终止公告，终止公告的公告期限为1个工作日。</w:t>
      </w:r>
    </w:p>
    <w:p>
      <w:r>
        <w:rPr>
          <w:b/>
          <w:sz w:val="28"/>
        </w:rPr>
        <w:t>七、询问、质疑与投诉</w:t>
      </w:r>
    </w:p>
    <w:p>
      <w:r>
        <w:rPr>
          <w:b/>
          <w:sz w:val="24"/>
        </w:rPr>
        <w:t>1.询问</w:t>
      </w:r>
    </w:p>
    <w:p>
      <w:pPr>
        <w:ind w:firstLine="480"/>
      </w:pPr>
      <w:r>
        <w:rPr/>
        <w:t>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r>
        <w:rPr>
          <w:b/>
          <w:sz w:val="24"/>
        </w:rPr>
        <w:t>2.质疑</w:t>
      </w:r>
    </w:p>
    <w:p>
      <w:pPr>
        <w:ind w:firstLine="480"/>
      </w:pPr>
      <w:r>
        <w:rPr/>
        <w:t>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(1)对招标文件提出质疑的，为获取招标文件之日或者招标文件公告期限届满之日；</w:t>
      </w:r>
    </w:p>
    <w:p>
      <w:pPr>
        <w:ind w:firstLine="480"/>
      </w:pPr>
      <w:r>
        <w:rPr/>
        <w:t>(2)对采购过程提出质疑的，为各采购程序环节结束之日；</w:t>
      </w:r>
    </w:p>
    <w:p>
      <w:pPr>
        <w:ind w:firstLine="480"/>
      </w:pPr>
      <w:r>
        <w:rPr/>
        <w:t>(3)对中标结果提出质疑的，为中标结果公告期限届满之日。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(3)认为采购文件、采购过程、中标和成交结果使自己的合法权益受到损害的法律依据、事实依据、相关证明材料及证据来源；</w:t>
      </w:r>
    </w:p>
    <w:p>
      <w:pPr>
        <w:ind w:firstLine="480"/>
      </w:pPr>
      <w:r>
        <w:rPr/>
        <w:t>(4)提出质疑的日期。</w:t>
      </w:r>
    </w:p>
    <w:p>
      <w:pPr>
        <w:ind w:firstLine="480"/>
      </w:pPr>
      <w:r>
        <w:rPr/>
        <w:t>2.3 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冯西韵</w:t>
      </w:r>
    </w:p>
    <w:p>
      <w:pPr>
        <w:ind w:firstLine="480"/>
      </w:pPr>
      <w:r>
        <w:rPr/>
        <w:t>电话：</w:t>
      </w:r>
      <w:r>
        <w:rPr/>
        <w:t>28866163</w:t>
      </w:r>
    </w:p>
    <w:p>
      <w:pPr>
        <w:ind w:firstLine="480"/>
      </w:pPr>
      <w:r>
        <w:rPr/>
        <w:t>传真：</w:t>
      </w:r>
      <w:r>
        <w:rPr/>
        <w:t>无</w:t>
      </w:r>
    </w:p>
    <w:p>
      <w:pPr>
        <w:ind w:firstLine="480"/>
      </w:pPr>
      <w:r>
        <w:rPr/>
        <w:t>邮箱：</w:t>
      </w:r>
      <w:r>
        <w:rPr/>
        <w:t>无</w:t>
      </w:r>
    </w:p>
    <w:p>
      <w:pPr>
        <w:ind w:firstLine="480"/>
      </w:pPr>
      <w:r>
        <w:rPr/>
        <w:t>地址：</w:t>
      </w:r>
      <w:r>
        <w:rPr/>
        <w:t>广州市天河区天润路333号4楼广州市政府采购中心综合管理部</w:t>
      </w:r>
    </w:p>
    <w:p>
      <w:pPr>
        <w:ind w:firstLine="480"/>
      </w:pPr>
      <w:r>
        <w:rPr/>
        <w:t>邮编：</w:t>
      </w:r>
      <w:r>
        <w:rPr/>
        <w:t>510630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政府采购监督管理机构名称：广州市财政局政府采购监管处</w:t>
      </w:r>
    </w:p>
    <w:p>
      <w:r>
        <w:rPr/>
        <w:t>地  址：广州市天河区华利路61号1506室</w:t>
      </w:r>
    </w:p>
    <w:p>
      <w:r>
        <w:rPr/>
        <w:t>电  话：020-38923544</w:t>
      </w:r>
    </w:p>
    <w:p>
      <w:r>
        <w:rPr/>
        <w:t>邮  编：510030</w:t>
      </w:r>
    </w:p>
    <w:p>
      <w:r>
        <w:rPr/>
        <w:t>传  真：020-38923544</w:t>
      </w:r>
    </w:p>
    <w:p/>
    <w:p>
      <w:r>
        <w:rPr>
          <w:b/>
          <w:sz w:val="28"/>
        </w:rPr>
        <w:t>八、合同签订和履行</w:t>
      </w:r>
    </w:p>
    <w:p>
      <w:r>
        <w:rPr>
          <w:b/>
          <w:sz w:val="24"/>
        </w:rPr>
        <w:t>1.合同签订</w:t>
      </w:r>
    </w:p>
    <w:p>
      <w:pPr>
        <w:ind w:firstLine="480"/>
      </w:pPr>
      <w:r>
        <w:rPr/>
        <w:t>1.1采购人应当自《中标通知书》发出之日起二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ind w:firstLine="480"/>
      </w:pPr>
      <w:r>
        <w:rPr/>
        <w:t>1.2采购人不得提出试用合格等任何不合理的要求作为签订合同的条件，且不得与中标供应商私下订立背离合同实质性内容的协议。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ind w:firstLine="480"/>
      </w:pPr>
      <w:r>
        <w:rPr/>
        <w:t>2.3有融资要求的中标供应商可根据自身情况，在广东省政府采购网上自行选择金融机构及其融资产品，凭政府采购中标通知书或政府采购合同向金融机构提出融资申请。</w:t>
      </w:r>
    </w:p>
    <w:p>
      <w:pPr>
        <w:ind w:firstLine="480"/>
      </w:pPr>
    </w:p>
    <w:p>
      <w:r>
        <w:rPr/>
        <w:t xml:space="preserve"> </w:t>
      </w:r>
    </w:p>
    <w:p/>
    <w:p>
      <w:pPr>
        <w:jc w:val="center"/>
      </w:pPr>
      <w:r>
        <w:rPr>
          <w:b/>
          <w:sz w:val="36"/>
        </w:rPr>
        <w:t>第四章 评标</w:t>
      </w:r>
    </w:p>
    <w:p>
      <w:r>
        <w:rPr>
          <w:b/>
          <w:sz w:val="28"/>
        </w:rPr>
        <w:t>一、评标要求</w:t>
      </w:r>
    </w:p>
    <w:p>
      <w:r>
        <w:rPr>
          <w:b/>
          <w:sz w:val="24"/>
        </w:rPr>
        <w:t>1.评标方法</w:t>
      </w:r>
    </w:p>
    <w:p>
      <w:pPr>
        <w:ind w:firstLine="480"/>
      </w:pPr>
    </w:p>
    <w:p/>
    <w:p>
      <w:r>
        <w:rPr/>
        <w:t>采购包1(人工智能训练师等级认定实训室项目)：综合评分法,是指投标文件满足招标文件全部实质性要求，且按照评审因素的量化指标评审得分最高的投标人为中标候选人的评标方法。（最低报价不是中标的唯一依据。）</w:t>
      </w:r>
    </w:p>
    <w:p/>
    <w:p>
      <w:r>
        <w:rPr>
          <w:b/>
          <w:sz w:val="24"/>
        </w:rPr>
        <w:t>2.评标原则</w:t>
      </w:r>
    </w:p>
    <w:p>
      <w:pPr>
        <w:ind w:firstLine="480"/>
      </w:pPr>
      <w:r>
        <w:rPr/>
        <w:t>2.1评标活动遵循公平、公正、科学和择优的原则，以招标文件和投标文件为评标的基本依据，并按照招标文件规定的评标方法和评标标准进行评标。</w:t>
      </w:r>
    </w:p>
    <w:p>
      <w:pPr>
        <w:ind w:firstLine="480"/>
      </w:pPr>
      <w:r>
        <w:rPr/>
        <w:t>2.2具体评标事项由评标委员会负责，并按招标文件的规定办法进行评审。</w:t>
      </w:r>
    </w:p>
    <w:p>
      <w:pPr>
        <w:ind w:firstLine="480"/>
      </w:pPr>
      <w:r>
        <w:rPr/>
        <w:t>2.3合格投标人不足须知前附表中约定的有效供应商家数的，不得评标。</w:t>
      </w:r>
    </w:p>
    <w:p>
      <w:r>
        <w:rPr>
          <w:b/>
          <w:sz w:val="24"/>
        </w:rPr>
        <w:t>3.评标委员会</w:t>
      </w:r>
    </w:p>
    <w:p>
      <w:pPr>
        <w:ind w:firstLine="480"/>
      </w:pPr>
      <w:r>
        <w:rPr/>
        <w:t>3.1评标委员会由采购人代表和评审专家组成，成员人数应当为5人及以上单数，其中评审专家不得少于成员总数的三分之二。</w:t>
      </w:r>
    </w:p>
    <w:p>
      <w:pPr>
        <w:ind w:firstLine="480"/>
      </w:pPr>
      <w:r>
        <w:rPr/>
        <w:t>3.2评标应遵守下列评标纪律：</w:t>
      </w:r>
    </w:p>
    <w:p>
      <w:pPr>
        <w:ind w:firstLine="480"/>
      </w:pPr>
      <w:r>
        <w:rPr/>
        <w:t>（1）评标情况不得私自外泄，有关信息由</w:t>
      </w:r>
      <w:r>
        <w:rPr/>
        <w:t>广州市政府采购中心</w:t>
      </w:r>
      <w:r>
        <w:rPr/>
        <w:t>统一对外发布。</w:t>
      </w:r>
    </w:p>
    <w:p>
      <w:pPr>
        <w:ind w:firstLine="480"/>
      </w:pPr>
      <w:r>
        <w:rPr/>
        <w:t>（2）对</w:t>
      </w:r>
      <w:r>
        <w:rPr/>
        <w:t>广州市政府采购中心</w:t>
      </w:r>
      <w:r>
        <w:rPr/>
        <w:t>或投标人提供的要求保密的资料，不得摘记翻印和外传。</w:t>
      </w:r>
    </w:p>
    <w:p>
      <w:pPr>
        <w:ind w:firstLine="480"/>
      </w:pPr>
      <w:r>
        <w:rPr/>
        <w:t>（3）不得收受投标供应商或有关人员的任何礼物，不得串联鼓动其他人袒护某投标人。若与投标人存在利害关系，则应主动声明并回避。</w:t>
      </w:r>
    </w:p>
    <w:p>
      <w:pPr>
        <w:ind w:firstLine="480"/>
      </w:pPr>
      <w:r>
        <w:rPr/>
        <w:t>（4）全体评委应按照招标文件规定进行评标，一切认定事项应查有实据且不得弄虚作假。</w:t>
      </w:r>
    </w:p>
    <w:p>
      <w:pPr>
        <w:ind w:firstLine="480"/>
      </w:pPr>
      <w:r>
        <w:rPr/>
        <w:t>（5）评标委员会各成员应当独立对每个投标人的投标文件进行评价，并对评价意见承担个人责任。评审过程中，不得发表倾向性言论。</w:t>
      </w:r>
    </w:p>
    <w:p>
      <w:pPr>
        <w:ind w:firstLine="480"/>
      </w:pPr>
      <w:r>
        <w:rPr/>
        <w:t>※对违反评标纪律的评委，将取消其评委资格，对评标工作造成严重损失者将予以通报批评乃至追究法律责任。</w:t>
      </w:r>
    </w:p>
    <w:p>
      <w:r>
        <w:rPr>
          <w:b/>
          <w:sz w:val="24"/>
        </w:rPr>
        <w:t>4.有下列情形之一的，视为投标人串通投标，其投标无效；</w:t>
      </w:r>
    </w:p>
    <w:p>
      <w:pPr>
        <w:ind w:firstLine="480"/>
      </w:pPr>
      <w:r>
        <w:rPr/>
        <w:t>4.1不同投标人的投标文件由同一单位或者个人编制；</w:t>
      </w:r>
    </w:p>
    <w:p>
      <w:pPr>
        <w:ind w:firstLine="480"/>
      </w:pPr>
      <w:r>
        <w:rPr/>
        <w:t>4.2不同投标人委托同一单位或者个人办理投标事宜；</w:t>
      </w:r>
    </w:p>
    <w:p>
      <w:pPr>
        <w:ind w:firstLine="480"/>
      </w:pPr>
      <w:r>
        <w:rPr/>
        <w:t>4.3不同投标人的投标文件载明的项目管理成员或者联系人员为同一人；</w:t>
      </w:r>
    </w:p>
    <w:p>
      <w:pPr>
        <w:ind w:firstLine="480"/>
      </w:pPr>
      <w:r>
        <w:rPr/>
        <w:t>4.4不同投标人的投标文件异常一致或者投标报价呈规律性差异；</w:t>
      </w:r>
    </w:p>
    <w:p>
      <w:pPr>
        <w:ind w:firstLine="480"/>
      </w:pPr>
      <w:r>
        <w:rPr/>
        <w:t>4.5不同投标人的投标文件相互混装；</w:t>
      </w:r>
    </w:p>
    <w:p>
      <w:pPr>
        <w:ind w:firstLine="480"/>
      </w:pPr>
      <w:r>
        <w:rPr/>
        <w:t>4.6不同投标人的投标保证金或购买电子保函支付款为从同一单位或个人的账户转出；</w:t>
      </w:r>
    </w:p>
    <w:p>
      <w:pPr>
        <w:ind w:firstLine="480"/>
      </w:pPr>
      <w:r>
        <w:rPr/>
        <w:t>4.7投标人上传的电子投标文件使用该项目其他投标人的数字证书加密的或加盖该项目的其他投标人的电子印章的。</w:t>
      </w:r>
    </w:p>
    <w:p>
      <w:pPr>
        <w:ind w:firstLine="480"/>
      </w:pPr>
      <w:r>
        <w:rPr/>
        <w:t xml:space="preserve"> 说明：在评标过程中发现投标人有上述情形的，评标委员会应当认定其投标无效。同时，项目评审时被认定为串通投标的投标人不得参加该合同项下的采购活动。</w:t>
      </w:r>
    </w:p>
    <w:p>
      <w:r>
        <w:rPr>
          <w:b/>
          <w:sz w:val="24"/>
        </w:rPr>
        <w:t>5.投标无效的情形</w:t>
      </w:r>
    </w:p>
    <w:p>
      <w:pPr>
        <w:ind w:firstLine="480"/>
      </w:pPr>
      <w:r>
        <w:rPr/>
        <w:t>详见资格性审查、符合性审查和招标文件其他投标无效条款。</w:t>
      </w:r>
    </w:p>
    <w:p>
      <w:r>
        <w:rPr>
          <w:b/>
          <w:sz w:val="24"/>
        </w:rPr>
        <w:t>6.定标</w:t>
      </w:r>
    </w:p>
    <w:p>
      <w:pPr>
        <w:ind w:firstLine="480"/>
      </w:pPr>
      <w:r>
        <w:rPr/>
        <w:t>评标委员会按照招标文件确定的评标方法、步骤、标准，对投标文件进行评审。评标结束后，对投标人的评审名次进行排序，确定中标供应商或者推荐中标候选人。第二中标候选人报价高于第一中标候选人报价20％以上的，只推荐1名中标候选人。（下浮率报价为:设 M= (1-下浮率)，第二中标候选人的 M值高于第一中标候选人 M 值 20%以上的，只推荐 1名中标候选人。)。 第一中标候选人无正当理由不得随意放弃中标资格。中标候选人放弃中标资格的，采购人可以按照评审报告推荐的中标候选人名单排序，确定下一候选人为中标人，也可以重新开展政府采购活动。</w:t>
      </w:r>
    </w:p>
    <w:p>
      <w:r>
        <w:rPr>
          <w:b/>
          <w:sz w:val="24"/>
        </w:rPr>
        <w:t>7.价格修正</w:t>
      </w:r>
    </w:p>
    <w:p>
      <w:pPr>
        <w:ind w:firstLine="480"/>
      </w:pPr>
      <w:r>
        <w:rPr/>
        <w:t>对报价的计算错误按以下原则修正：</w:t>
      </w:r>
    </w:p>
    <w:p>
      <w:pPr>
        <w:ind w:firstLine="480"/>
      </w:pPr>
      <w:r>
        <w:rPr/>
        <w:t>（1）投标文件中开标一览表内容与投标文件中相应内容不一致的，以开标一览表为准；</w:t>
      </w:r>
    </w:p>
    <w:p>
      <w:pPr>
        <w:ind w:firstLine="480"/>
      </w:pPr>
      <w:r>
        <w:rPr/>
        <w:t>（2）大写金额和小写金额不一致的，以大写金额为准；</w:t>
      </w:r>
    </w:p>
    <w:p>
      <w:pPr>
        <w:ind w:firstLine="480"/>
      </w:pPr>
      <w:r>
        <w:rPr/>
        <w:t>（3）单价金额小数点或者百分比有明显错位的，以开标一览表的总价为准，并修改单价。</w:t>
      </w:r>
    </w:p>
    <w:p>
      <w:pPr>
        <w:ind w:firstLine="480"/>
      </w:pPr>
      <w:r>
        <w:rPr/>
        <w:t>（4）总价金额与按单价汇总金额不一致的，以单价金额计算结果为准。但是单价金额计算结果超过预算价的，对其按无效投标处理。</w:t>
      </w:r>
    </w:p>
    <w:p>
      <w:pPr>
        <w:ind w:firstLine="480"/>
      </w:pPr>
      <w:r>
        <w:rPr/>
        <w:t>（5）若投标客户端上传的电子报价数据与电子投标文件价格不一致的，以电子报价数据为准。</w:t>
      </w:r>
    </w:p>
    <w:p>
      <w:pPr>
        <w:ind w:firstLine="480"/>
      </w:pPr>
      <w:r>
        <w:rPr/>
        <w:t>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采购的产品属于品目清单范围的，将依据国家确定的认证机构出具的、处于有效期之内的节能产品、环境标志产品认证证书，对获得证书的产品实施政府优先采购或强制采购，具体按照本招标文件相关要求执行。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采购包1（人工智能训练师等级认定实训室项目）：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注：（1）上述评标价仅用于计算价格评分，成交金额以实际投标（响应）价为准。</w:t>
              <w:tab/>
              <w:tab/>
              <w:tab/>
              <w:tab/>
              <w:tab/>
              <w:t xml:space="preserve"> （2）组成联合体或者接受分包的小微企业与联合体内其他企业、分包企业之间存在直接控股、管理关系的，不享受价格扣除优惠政策。</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ind w:firstLine="480"/>
      </w:pPr>
      <w:r>
        <w:rPr/>
        <w:t>说明：投标人应当对其出具的《中小企业声明函》真实性负责，投标人出具的《中小企业声明函》内容不实的，属于提供虚假材料谋取中标。</w:t>
      </w:r>
    </w:p>
    <w:p>
      <w:pPr>
        <w:ind w:firstLine="480"/>
      </w:pPr>
      <w:r>
        <w:rPr/>
        <w:t>（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r>
        <w:rPr>
          <w:b/>
          <w:sz w:val="28"/>
        </w:rPr>
        <w:t>三、评审程序</w:t>
      </w:r>
    </w:p>
    <w:p>
      <w:r>
        <w:rPr>
          <w:b/>
          <w:sz w:val="24"/>
        </w:rPr>
        <w:t>1.资格性审查和符合性审查</w:t>
      </w:r>
    </w:p>
    <w:p>
      <w:pPr>
        <w:ind w:firstLine="480"/>
      </w:pPr>
      <w:r>
        <w:rPr/>
        <w:t>资格性审查。公开招标采购项目开标结束后，采购人或采购代理机构应当依法对投标人的资格进行审查，以确定投标人是否具备投标资格。（详见后附表一资格性审查表）</w:t>
      </w:r>
    </w:p>
    <w:p>
      <w:pPr>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ind w:firstLine="480"/>
      </w:pPr>
      <w:r>
        <w:rPr/>
        <w:t>资格性审查和符合性审查中凡有其中任意一项未通过的，评审结果为未通过，未通过资格性审查、符合性审查的投标人按无效投标处理。</w:t>
      </w:r>
    </w:p>
    <w:p>
      <w:pPr>
        <w:ind w:firstLine="480"/>
      </w:pPr>
      <w:r>
        <w:rPr/>
        <w:t>对各投标人进行资格审查和符合性审查过程中，对初步被认定为无效投标者，由评标委员会组长或采购人代表将集体意见及时告知投标当事人。采购代理机构应在评标报告中以书面形式解释其排除的具体原因</w:t>
      </w:r>
    </w:p>
    <w:p>
      <w:pPr>
        <w:ind w:firstLine="480"/>
      </w:pPr>
      <w:r>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ind w:firstLine="480"/>
      </w:pPr>
      <w:r>
        <w:rPr/>
        <w:t>合格投标人不足3家的，不得评标。</w:t>
      </w:r>
    </w:p>
    <w:p>
      <w:pPr>
        <w:ind w:firstLine="480"/>
      </w:pPr>
      <w:r>
        <w:rPr/>
        <w:t>表一资格性审查表：</w:t>
      </w:r>
    </w:p>
    <w:p>
      <w:pPr>
        <w:ind w:firstLine="480"/>
      </w:pPr>
    </w:p>
    <w:p/>
    <w:p>
      <w:r>
        <w:rPr/>
        <w:t>采购包1（人工智能训练师等级认定实训室项目）：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依据《投标函》及以下相关证照的扫描件之一：1.企业法人提供企业法人营业执照；2.事业法人提供事业法人登记证；3.其他组织提供其他组织的营业执照或执业许可证；4.自然人提供居民身份证等。分支机构投标的，还须提供分支机构的营业执照（执业许可证）扫描件及总公司（总所）出具给分支机构的授权书。</w:t>
            </w:r>
          </w:p>
        </w:tc>
      </w:tr>
      <w:tr>
        <w:tc>
          <w:tcPr>
            <w:tcW w:type="dxa" w:w="890"/>
          </w:tcPr>
          <w:p>
            <w:r>
              <w:rPr/>
              <w:t>2</w:t>
            </w:r>
          </w:p>
        </w:tc>
        <w:tc>
          <w:tcPr>
            <w:tcW w:type="dxa" w:w="3178"/>
          </w:tcPr>
          <w:p>
            <w:r>
              <w:rPr/>
              <w:t>有依法缴纳税收和社会保障资金的良好记录</w:t>
            </w:r>
          </w:p>
        </w:tc>
        <w:tc>
          <w:tcPr>
            <w:tcW w:type="dxa" w:w="4238"/>
          </w:tcPr>
          <w:p>
            <w:r>
              <w:rPr/>
              <w:t>依据《投标函》。</w:t>
            </w:r>
          </w:p>
        </w:tc>
      </w:tr>
      <w:tr>
        <w:tc>
          <w:tcPr>
            <w:tcW w:type="dxa" w:w="890"/>
          </w:tcPr>
          <w:p>
            <w:r>
              <w:rPr/>
              <w:t>3</w:t>
            </w:r>
          </w:p>
        </w:tc>
        <w:tc>
          <w:tcPr>
            <w:tcW w:type="dxa" w:w="3178"/>
          </w:tcPr>
          <w:p>
            <w:r>
              <w:rPr/>
              <w:t>具有良好的商业信誉和健全的财务会计制度</w:t>
            </w:r>
          </w:p>
        </w:tc>
        <w:tc>
          <w:tcPr>
            <w:tcW w:type="dxa" w:w="4238"/>
          </w:tcPr>
          <w:p>
            <w:r>
              <w:rPr/>
              <w:t>依据《投标函》。</w:t>
            </w:r>
          </w:p>
        </w:tc>
      </w:tr>
      <w:tr>
        <w:tc>
          <w:tcPr>
            <w:tcW w:type="dxa" w:w="890"/>
          </w:tcPr>
          <w:p>
            <w:r>
              <w:rPr/>
              <w:t>4</w:t>
            </w:r>
          </w:p>
        </w:tc>
        <w:tc>
          <w:tcPr>
            <w:tcW w:type="dxa" w:w="3178"/>
          </w:tcPr>
          <w:p>
            <w:r>
              <w:rPr/>
              <w:t>履行合同所必需的设备和专业技术能力</w:t>
            </w:r>
          </w:p>
        </w:tc>
        <w:tc>
          <w:tcPr>
            <w:tcW w:type="dxa" w:w="4238"/>
          </w:tcPr>
          <w:p>
            <w:r>
              <w:rPr/>
              <w:t>依据《投标函》。</w:t>
            </w:r>
          </w:p>
        </w:tc>
      </w:tr>
      <w:tr>
        <w:tc>
          <w:tcPr>
            <w:tcW w:type="dxa" w:w="890"/>
          </w:tcPr>
          <w:p>
            <w:r>
              <w:rPr/>
              <w:t>5</w:t>
            </w:r>
          </w:p>
        </w:tc>
        <w:tc>
          <w:tcPr>
            <w:tcW w:type="dxa" w:w="3178"/>
          </w:tcPr>
          <w:p>
            <w:r>
              <w:rPr/>
              <w:t>参加采购活动前3年内，在经营活动中没有重大违法记录</w:t>
            </w:r>
          </w:p>
        </w:tc>
        <w:tc>
          <w:tcPr>
            <w:tcW w:type="dxa" w:w="4238"/>
          </w:tcPr>
          <w:p>
            <w:r>
              <w:rPr/>
              <w:t>依据《投标函》。</w:t>
            </w:r>
          </w:p>
        </w:tc>
      </w:tr>
      <w:tr>
        <w:tc>
          <w:tcPr>
            <w:tcW w:type="dxa" w:w="890"/>
          </w:tcPr>
          <w:p>
            <w:r>
              <w:rPr/>
              <w:t>6</w:t>
            </w:r>
          </w:p>
        </w:tc>
        <w:tc>
          <w:tcPr>
            <w:tcW w:type="dxa" w:w="3178"/>
          </w:tcPr>
          <w:p>
            <w:r>
              <w:rPr/>
              <w:t>供应商必须符合法律、行政法规规定的其他条件</w:t>
            </w:r>
          </w:p>
        </w:tc>
        <w:tc>
          <w:tcPr>
            <w:tcW w:type="dxa" w:w="4238"/>
          </w:tcPr>
          <w:p>
            <w:r>
              <w:rPr/>
              <w:t>1.本项目不接受联合体投标。2.供应商未被列入“信用中国”网站中“记录失信被执行人或重大税收违法案件当事人名单或政府采购严重违法失信行为”的记录名单；不处于“中国政府采购网”中“政府采购严重违法失信行为信息记录”的禁止参加政府采购活动期间（以采购代理机构或采购人于资格审查时在上述网站查询结果为准，如在上述网站查询结果均显示没有相关记录，视为没有上述不良信用记录。同时对信用信息查询记录和证据截图存档。如相关失信记录已失效，供应商须提供相关证明资料）。3.供应商必须符合法律、行政法规规定的其他条件：依据《投标函》。</w:t>
            </w:r>
          </w:p>
        </w:tc>
      </w:tr>
      <w:tr>
        <w:tc>
          <w:tcPr>
            <w:tcW w:type="dxa" w:w="890"/>
          </w:tcPr>
          <w:p>
            <w:r>
              <w:rPr/>
              <w:t>7</w:t>
            </w:r>
          </w:p>
        </w:tc>
        <w:tc>
          <w:tcPr>
            <w:tcW w:type="dxa" w:w="3178"/>
          </w:tcPr>
          <w:p>
            <w:r>
              <w:rPr/>
              <w:t>本采购包专门面向中小企业采购</w:t>
            </w:r>
          </w:p>
        </w:tc>
        <w:tc>
          <w:tcPr>
            <w:tcW w:type="dxa" w:w="4238"/>
          </w:tcPr>
          <w:p>
            <w:r>
              <w:rPr/>
              <w:t>本项目属于专门面向中小微企业采购的项目，全部货物的制造商应为中小微企业、监狱企业或残疾人福利性单位【依据《中小企业声明函》或由省级以上监狱管理局、戒毒管理局(含新疆生产建设兵团)出具的制造商属于监狱企业的证明文件或制造商的《残疾人福利性单位声明函》】。</w:t>
            </w:r>
          </w:p>
        </w:tc>
      </w:tr>
    </w:tbl>
    <w:p/>
    <w:p>
      <w:pPr>
        <w:ind w:firstLine="480"/>
      </w:pPr>
      <w:r>
        <w:rPr/>
        <w:t>表二符合性审查表：</w:t>
      </w:r>
    </w:p>
    <w:p>
      <w:pPr>
        <w:ind w:firstLine="480"/>
      </w:pPr>
    </w:p>
    <w:p/>
    <w:p>
      <w:r>
        <w:rPr/>
        <w:t>采购包1（人工智能训练师等级认定实训室项目）：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符合性审查内容</w:t>
            </w:r>
          </w:p>
        </w:tc>
        <w:tc>
          <w:tcPr>
            <w:tcW w:type="dxa" w:w="4238"/>
          </w:tcPr>
          <w:p>
            <w:r>
              <w:rPr/>
              <w:t>1.报价确定且不高于预算金额。 2.有盖章、签署要求的格式文件已按要求盖章、签署。 3.投标文件完全满足招标文件中带★号的条款和指标 (审查《实质性响应一览表》) 4.未发现属无效投标的其他情形。以下为属无效投标的其他情形：（1）法定代表人或单位负责人为同一个人或者存在直接控股、管理关系的不同供应商，同时 参加本项目或同一采购包投标的。 （2）投标人为本项目提供整体设计、规范编制或者项目管理、监理、检测等服务的。（3）评标期间，投标人没有按评标委员会的要求提交法定代表人或其委托代理人签字的澄清、说明、补正或改变了投标文件 的实质性内容的。 （4）投标文件提供虚假材料的。 （5）投标人以他人的名义投标、串通投标、以行贿手段谋取中标或者以其他弄虚作假方式投标的。 （6）投标 人对采购人、采购代理机构、评标委员会及其工作人员施加影响，有碍招标公平、公正的。 （7）投标文件含有采购人不能接受的附加条件的。 （8）法律、法规和招标 文件规定的其他无效情形。</w:t>
            </w:r>
          </w:p>
        </w:tc>
      </w:tr>
    </w:tbl>
    <w:p/>
    <w:p>
      <w:r>
        <w:rPr>
          <w:b/>
          <w:sz w:val="24"/>
        </w:rPr>
        <w:t>2.投标文件澄清</w:t>
      </w:r>
    </w:p>
    <w:p>
      <w:pPr>
        <w:ind w:firstLine="480"/>
      </w:pPr>
      <w:r>
        <w:rPr/>
        <w:t>2.1对于投标文件中含义不明确、同类问题表述不一致或者有明显文字和计算错误的内容，评标委员会可在评审过程中发起在线澄清，要求投标人针对价格或内容做出必要的澄清、说明或补正。代理机构可根据开标环节记录的授权代表人联系方式发送短信提醒或电话告知。</w:t>
      </w:r>
    </w:p>
    <w:p>
      <w:pPr>
        <w:ind w:firstLine="480"/>
      </w:pPr>
      <w:r>
        <w:rPr/>
        <w:t>投标人需登录广东政府采购智慧云平台项目采购系统的等候大厅，在规定时间内完成澄清（响应），并加盖电子印章。</w:t>
      </w:r>
    </w:p>
    <w:p>
      <w:pPr>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ind w:firstLine="480"/>
      </w:pPr>
      <w:r>
        <w:rPr/>
        <w:t>2.2评标委员会不接受投标人主动提出的澄清、说明或补正。</w:t>
      </w:r>
    </w:p>
    <w:p>
      <w:pPr>
        <w:ind w:firstLine="480"/>
      </w:pPr>
      <w:r>
        <w:rPr/>
        <w:t>2.3评标委员会对投标人提交的澄清、说明或补正有疑问的，可以要求投标人进一步澄清、说明或补正。</w:t>
      </w:r>
    </w:p>
    <w:p>
      <w:r>
        <w:rPr>
          <w:b/>
          <w:sz w:val="24"/>
        </w:rPr>
        <w:t>3.详细评审</w:t>
      </w:r>
    </w:p>
    <w:p>
      <w:pPr>
        <w:ind w:firstLine="480"/>
      </w:pPr>
    </w:p>
    <w:p/>
    <w:p/>
    <w:p>
      <w:r>
        <w:rPr/>
        <w:t>采购包1(人工智能训练师等级认定实训室项目):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商务部分30.0分</w:t>
            </w:r>
          </w:p>
          <w:p>
            <w:r>
              <w:rPr/>
              <w:t>技术部分35.0分</w:t>
            </w:r>
          </w:p>
          <w:p>
            <w:r>
              <w:rPr/>
              <w:t>综合信用分5.0分</w:t>
            </w:r>
          </w:p>
          <w:p>
            <w:r>
              <w:rPr/>
              <w:t>报价得分30.0分</w:t>
            </w:r>
          </w:p>
        </w:tc>
      </w:tr>
      <w:tr>
        <w:tc>
          <w:tcPr>
            <w:tcW w:type="dxa" w:w="922"/>
            <w:gridSpan w:val="2"/>
            <w:vMerge w:val="restart"/>
          </w:tcPr>
          <w:p>
            <w:pPr>
              <w:jc w:val="center"/>
            </w:pPr>
            <w:r>
              <w:rPr/>
              <w:t>技术部分</w:t>
            </w:r>
          </w:p>
        </w:tc>
        <w:tc>
          <w:tcPr>
            <w:tcW w:type="dxa" w:w="2307"/>
          </w:tcPr>
          <w:p>
            <w:pPr>
              <w:jc w:val="left"/>
            </w:pPr>
            <w:r>
              <w:rPr/>
              <w:t>设备关键技术参数响应程度 (13.0分)</w:t>
            </w:r>
          </w:p>
        </w:tc>
        <w:tc>
          <w:tcPr>
            <w:tcW w:type="dxa" w:w="5076"/>
          </w:tcPr>
          <w:p>
            <w:pPr>
              <w:jc w:val="left"/>
            </w:pPr>
            <w:r>
              <w:rPr/>
              <w:t>根据所投设备的技术参数及要求响应情况，对采购需求的"▲"参数进行评价，参数及要求全部满足或优于的得满分，每1项不满足扣1分，本项最高13分。</w:t>
            </w:r>
          </w:p>
        </w:tc>
      </w:tr>
      <w:tr>
        <w:tc>
          <w:tcPr>
            <w:tcW w:type="dxa" w:w="922"/>
            <w:gridSpan w:val="2"/>
            <w:vMerge/>
          </w:tcPr>
          <w:p/>
        </w:tc>
        <w:tc>
          <w:tcPr>
            <w:tcW w:type="dxa" w:w="2307"/>
          </w:tcPr>
          <w:p>
            <w:pPr>
              <w:jc w:val="left"/>
            </w:pPr>
            <w:r>
              <w:rPr/>
              <w:t>设备一般技术参数响应程度 (4.0分)</w:t>
            </w:r>
          </w:p>
        </w:tc>
        <w:tc>
          <w:tcPr>
            <w:tcW w:type="dxa" w:w="5076"/>
          </w:tcPr>
          <w:p>
            <w:pPr>
              <w:jc w:val="left"/>
            </w:pPr>
            <w:r>
              <w:rPr/>
              <w:t>根据所投设备的技术参数及要求响应情况，对所有非演示及非"▲"参数进行评价，参数及要求全部满足或优于采购需求的，得满分，1-4项负偏离的，得3分；5-8项负偏离的，得2分，9-12项负偏离的，得1分，13项及以上负偏离的，得0分。本项最高4分。</w:t>
            </w:r>
          </w:p>
        </w:tc>
      </w:tr>
      <w:tr>
        <w:tc>
          <w:tcPr>
            <w:tcW w:type="dxa" w:w="922"/>
            <w:gridSpan w:val="2"/>
            <w:vMerge/>
          </w:tcPr>
          <w:p/>
        </w:tc>
        <w:tc>
          <w:tcPr>
            <w:tcW w:type="dxa" w:w="2307"/>
          </w:tcPr>
          <w:p>
            <w:pPr>
              <w:jc w:val="left"/>
            </w:pPr>
            <w:r>
              <w:rPr/>
              <w:t>操作演示视频演示 (7.0分)</w:t>
            </w:r>
          </w:p>
        </w:tc>
        <w:tc>
          <w:tcPr>
            <w:tcW w:type="dxa" w:w="5076"/>
          </w:tcPr>
          <w:p>
            <w:pPr>
              <w:jc w:val="left"/>
            </w:pPr>
            <w:r>
              <w:rPr/>
              <w:t>1、人工智能训练师实训平台”真实操作视频要求： ①实验环境需支持在线方式部署模型预测应用，且需支持图像分类或目标检测等模型预测效果web页面展示；（提供操作演示视频）；②需提供可视化模型训练工具进行预训练模型重训，可支持图像采集、标注后的数据通过简单的参数设置快速的在工具上进行数据处理、模型训练与评估和部署的相关功能；（提供操作演示视频）； ③实验环境需可为用户提供可以一键重置实验环境，重置后系统开发环境还原为初始状态，实验过程中安装的依赖包需被清除，方便学生开展不同实验任务之间环境不产生冲突；（提供操作演示视频）； 2、“人工智能计算机视觉实验平台”真实操作视频要求： ①边缘计算终端内置的AI算法至少包括目标检测、人脸识别、车牌识别、车位检测、人脸多属性分析、人体骨骼关键点检测，满足AI的基础应用与开发教学。（提供操作演示视频）；②边缘计算终端须内置人脸多属性分析算法，具有不少于2个维度的分析结果，比如（表情、是否佩戴眼镜、是否佩戴口罩、年龄、性别）；（提供操作演示视频）； ③边缘计算终端须内置人体骨骼关键点检测算法，具有不少于16个关键点的检测。（提供操作演示视频）;④应用软件具有不少于5个内置AI算法应用，程序界面应包括摄像头调用、图像采集、算法调用、结果呈现等功能与代码对照教学演示，可展开关键技术分解教学。在认知和关键步骤上进行实际操作，满足AI的通识教学（提供操作演示视频）。以上共7项，最多得7分。每项完全满足演示要求，得1分；部分满足或不满足或不演示的，不得分。</w:t>
            </w:r>
          </w:p>
        </w:tc>
      </w:tr>
      <w:tr>
        <w:tc>
          <w:tcPr>
            <w:tcW w:type="dxa" w:w="922"/>
            <w:gridSpan w:val="2"/>
            <w:vMerge/>
          </w:tcPr>
          <w:p/>
        </w:tc>
        <w:tc>
          <w:tcPr>
            <w:tcW w:type="dxa" w:w="2307"/>
          </w:tcPr>
          <w:p>
            <w:pPr>
              <w:jc w:val="left"/>
            </w:pPr>
            <w:r>
              <w:rPr/>
              <w:t>产品及售后服务质量保障情况 (3.0分)</w:t>
            </w:r>
          </w:p>
        </w:tc>
        <w:tc>
          <w:tcPr>
            <w:tcW w:type="dxa" w:w="5076"/>
          </w:tcPr>
          <w:p>
            <w:pPr>
              <w:jc w:val="left"/>
            </w:pPr>
            <w:r>
              <w:rPr/>
              <w:t>为保障产品质量和售后服务质量保障，投标时提供(人工智能训练师实训平台、人工智能计算机视觉实验平台、移动机器人实训平台)针对本项目的点对点参数响应表和售后服务承诺函（原件扫描件）。每提供一项产品的点对点参数响应表和售后服务承诺函得1分，全部提供得3分。</w:t>
            </w:r>
          </w:p>
        </w:tc>
      </w:tr>
      <w:tr>
        <w:tc>
          <w:tcPr>
            <w:tcW w:type="dxa" w:w="922"/>
            <w:gridSpan w:val="2"/>
            <w:vMerge/>
          </w:tcPr>
          <w:p/>
        </w:tc>
        <w:tc>
          <w:tcPr>
            <w:tcW w:type="dxa" w:w="2307"/>
          </w:tcPr>
          <w:p>
            <w:pPr>
              <w:jc w:val="left"/>
            </w:pPr>
            <w:r>
              <w:rPr/>
              <w:t>项目实施方案 (5.0分)</w:t>
            </w:r>
          </w:p>
        </w:tc>
        <w:tc>
          <w:tcPr>
            <w:tcW w:type="dxa" w:w="5076"/>
          </w:tcPr>
          <w:p>
            <w:pPr>
              <w:jc w:val="left"/>
            </w:pPr>
            <w:r>
              <w:rPr/>
              <w:t>1.投标人能提供项目实施方案的，得2分。如未能提供项目实施方案的，则以下评分项均不得分； 2.投标人提供项目实施方案包括：安装、调试、质量保证方案的，得3分，无提供或部分提供不得分。</w:t>
            </w:r>
          </w:p>
        </w:tc>
      </w:tr>
      <w:tr>
        <w:tc>
          <w:tcPr>
            <w:tcW w:type="dxa" w:w="922"/>
            <w:gridSpan w:val="2"/>
            <w:vMerge/>
          </w:tcPr>
          <w:p/>
        </w:tc>
        <w:tc>
          <w:tcPr>
            <w:tcW w:type="dxa" w:w="2307"/>
          </w:tcPr>
          <w:p>
            <w:pPr>
              <w:jc w:val="left"/>
            </w:pPr>
            <w:r>
              <w:rPr/>
              <w:t>培训方案 (3.0分)</w:t>
            </w:r>
          </w:p>
        </w:tc>
        <w:tc>
          <w:tcPr>
            <w:tcW w:type="dxa" w:w="5076"/>
          </w:tcPr>
          <w:p>
            <w:pPr>
              <w:jc w:val="left"/>
            </w:pPr>
            <w:r>
              <w:rPr/>
              <w:t>投标人提供的培训方案需对采购需求“五、培训服务要求”进行响应：提供的培训方案，完全满足或优于采购需求，得3分；提供的培训方案，部分满足采购需求，得2分；未提供培训方案，不得分。</w:t>
            </w:r>
          </w:p>
        </w:tc>
      </w:tr>
      <w:tr>
        <w:tc>
          <w:tcPr>
            <w:tcW w:type="dxa" w:w="922"/>
            <w:gridSpan w:val="2"/>
            <w:vMerge w:val="restart"/>
          </w:tcPr>
          <w:p>
            <w:pPr>
              <w:jc w:val="center"/>
            </w:pPr>
            <w:r>
              <w:rPr/>
              <w:t>商务部分</w:t>
            </w:r>
          </w:p>
        </w:tc>
        <w:tc>
          <w:tcPr>
            <w:tcW w:type="dxa" w:w="2307"/>
          </w:tcPr>
          <w:p>
            <w:pPr>
              <w:jc w:val="left"/>
            </w:pPr>
            <w:r>
              <w:rPr/>
              <w:t>同类项目业绩【以合同签订时间为准。分支机构投标的，总公司（总所）业绩可纳入评审】 (6.0分)</w:t>
            </w:r>
          </w:p>
        </w:tc>
        <w:tc>
          <w:tcPr>
            <w:tcW w:type="dxa" w:w="5076"/>
          </w:tcPr>
          <w:p>
            <w:pPr>
              <w:jc w:val="left"/>
            </w:pPr>
            <w:r>
              <w:rPr/>
              <w:t>依据2019年以来（以合同签订日期为准）完成的系统集成类项目合同进行评审：每提供一份得2分，最多得6分。注：须提供合同关键页（合同首页、盖章页、签订日期、项目金额页扫描件）请投标人严格按照要求提交相关证明材料，否则有可能影响评审结果。</w:t>
            </w:r>
          </w:p>
        </w:tc>
      </w:tr>
      <w:tr>
        <w:tc>
          <w:tcPr>
            <w:tcW w:type="dxa" w:w="922"/>
            <w:gridSpan w:val="2"/>
            <w:vMerge/>
          </w:tcPr>
          <w:p/>
        </w:tc>
        <w:tc>
          <w:tcPr>
            <w:tcW w:type="dxa" w:w="2307"/>
          </w:tcPr>
          <w:p>
            <w:pPr>
              <w:jc w:val="left"/>
            </w:pPr>
            <w:r>
              <w:rPr/>
              <w:t>配套教学资源制作相关经验 (8.0分)</w:t>
            </w:r>
          </w:p>
        </w:tc>
        <w:tc>
          <w:tcPr>
            <w:tcW w:type="dxa" w:w="5076"/>
          </w:tcPr>
          <w:p>
            <w:pPr>
              <w:jc w:val="left"/>
            </w:pPr>
            <w:r>
              <w:rPr/>
              <w:t>为确保本次采购教学资源满足教学及课程要求，提供2019年以来作为主编或者组编单位并公开出版的电子信息大类教材不少于10本，提供出版教材名称、书号、主要证明页等相关证明材料，最高得8分，提供1-3本（须体现出版教材名称、书号、主要证明页等相关证明材料）得1分，提供4-6本（须体现出版教材名称、书号、主要证明页等相关证明材料）得3分，提供7-9本（须体现出版教材名称、书号、主要证明页等相关证明材料）得5分，不提供不得分。</w:t>
            </w:r>
          </w:p>
        </w:tc>
      </w:tr>
      <w:tr>
        <w:tc>
          <w:tcPr>
            <w:tcW w:type="dxa" w:w="922"/>
            <w:gridSpan w:val="2"/>
            <w:vMerge/>
          </w:tcPr>
          <w:p/>
        </w:tc>
        <w:tc>
          <w:tcPr>
            <w:tcW w:type="dxa" w:w="2307"/>
          </w:tcPr>
          <w:p>
            <w:pPr>
              <w:jc w:val="left"/>
            </w:pPr>
            <w:r>
              <w:rPr/>
              <w:t>投标人资质与认证情况 (6.0分)</w:t>
            </w:r>
          </w:p>
        </w:tc>
        <w:tc>
          <w:tcPr>
            <w:tcW w:type="dxa" w:w="5076"/>
          </w:tcPr>
          <w:p>
            <w:pPr>
              <w:jc w:val="left"/>
            </w:pPr>
            <w:r>
              <w:rPr/>
              <w:t>投标人具有以下认证证书： 1、质量管理体系认证，得2分；  2、环境管理体系认证证书，得2分；  3、职业健康安全管理体系认证证书，得2分；  注：本项最多得6分，提供证书扫描件及在全国认证认可信息公共服务平台上对证书的查询结果截图为证明材料。</w:t>
            </w:r>
          </w:p>
        </w:tc>
      </w:tr>
      <w:tr>
        <w:tc>
          <w:tcPr>
            <w:tcW w:type="dxa" w:w="922"/>
            <w:gridSpan w:val="2"/>
            <w:vMerge/>
          </w:tcPr>
          <w:p/>
        </w:tc>
        <w:tc>
          <w:tcPr>
            <w:tcW w:type="dxa" w:w="2307"/>
          </w:tcPr>
          <w:p>
            <w:pPr>
              <w:jc w:val="left"/>
            </w:pPr>
            <w:r>
              <w:rPr/>
              <w:t>拟投入技术人员情况 (10.0分)</w:t>
            </w:r>
          </w:p>
        </w:tc>
        <w:tc>
          <w:tcPr>
            <w:tcW w:type="dxa" w:w="5076"/>
          </w:tcPr>
          <w:p>
            <w:pPr>
              <w:jc w:val="left"/>
            </w:pPr>
            <w:r>
              <w:rPr/>
              <w:t>1、本项目项目经理：1）具有信息系统项目管理师证书； 2）具有网络工程师证书；3) 具有本科或以上学历证书;  全部提供得6分， 每少提供1个证书扣2分， 扣完为止。  2、项目实施人员（不含本项目项目经理）： 1） 具有网络工程师证书；2) 具有本科或以上学历证书;  全部提供得4分， 每少提供1个证书扣2分， 扣完为止。注：须提供以上资质证明材料及拟投入技术人员在投标人服务的外部证明材料扫描件，如投标截止日之前六个月以内任意月份的代缴个税税单或参加社会保险的《投保单》或《社会保险参保人员证明》等。无提供的不得分。</w:t>
            </w:r>
          </w:p>
        </w:tc>
      </w:tr>
      <w:tr>
        <w:tc>
          <w:tcPr>
            <w:tcW w:type="dxa" w:w="922"/>
            <w:gridSpan w:val="2"/>
          </w:tcPr>
          <w:p>
            <w:pPr>
              <w:jc w:val="center"/>
            </w:pPr>
            <w:r>
              <w:rPr/>
              <w:t>投标报价</w:t>
            </w:r>
          </w:p>
        </w:tc>
        <w:tc>
          <w:tcPr>
            <w:tcW w:type="dxa" w:w="2307"/>
          </w:tcPr>
          <w:p>
            <w:pPr>
              <w:jc w:val="left"/>
            </w:pPr>
            <w:r>
              <w:rPr/>
              <w:t>投标报价得分 (30.0分)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r>
        <w:tc>
          <w:tcPr>
            <w:tcW w:type="dxa" w:w="922"/>
            <w:gridSpan w:val="2"/>
          </w:tcPr>
          <w:p>
            <w:pPr>
              <w:jc w:val="center"/>
            </w:pPr>
            <w:r>
              <w:rPr/>
              <w:t>综合信用分</w:t>
            </w:r>
          </w:p>
        </w:tc>
        <w:tc>
          <w:tcPr>
            <w:tcW w:type="dxa" w:w="2307"/>
          </w:tcPr>
          <w:p>
            <w:pPr>
              <w:jc w:val="left"/>
            </w:pPr>
            <w:r>
              <w:rPr/>
              <w:t>综合信用评价 (5.0分)</w:t>
            </w:r>
          </w:p>
        </w:tc>
        <w:tc>
          <w:tcPr>
            <w:tcW w:type="dxa" w:w="5076"/>
          </w:tcPr>
          <w:p>
            <w:pPr>
              <w:jc w:val="left"/>
            </w:pPr>
            <w:r>
              <w:rPr/>
              <w:t>综合信用评价得分(属于商务部分的一部分)=投标人的广州公共资源交易信用评价（政府采购供应商信用评价分）×5%。 投标人的信用评价分以开标当天广州交易集团有限公司网站公布的分值为准（通过“广州交易集团有限公司网站-信用信息-广州公共资源交易信用平台2.0” 进行核实，未能在网站查询到供应商信用评价分的，以信用评价基准分（93.4分）计算）</w:t>
            </w:r>
          </w:p>
        </w:tc>
      </w:tr>
    </w:tbl>
    <w:p/>
    <w:p>
      <w:r>
        <w:rPr>
          <w:b/>
          <w:sz w:val="24"/>
        </w:rPr>
        <w:t>4.汇总、排序</w:t>
      </w:r>
    </w:p>
    <w:p>
      <w:pPr>
        <w:ind w:firstLine="480"/>
      </w:pPr>
    </w:p>
    <w:p/>
    <w:p>
      <w:r>
        <w:rPr/>
        <w:t>采购包1：</w:t>
      </w:r>
    </w:p>
    <w:p/>
    <w:p>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
      <w:r>
        <w:rPr>
          <w:b/>
          <w:sz w:val="24"/>
        </w:rPr>
        <w:t>5.中标价的确定</w:t>
      </w:r>
    </w:p>
    <w:p>
      <w:pPr>
        <w:ind w:firstLine="480"/>
      </w:pPr>
      <w:r>
        <w:rPr/>
        <w:t>除了按第四章第一点第7条修正并经投标人确认的投标报价作为中标价外，中标价以开标时公开唱标价为准。</w:t>
      </w:r>
    </w:p>
    <w:p>
      <w:r>
        <w:rPr>
          <w:b/>
          <w:sz w:val="24"/>
        </w:rPr>
        <w:t>6.其他无效投标的情形：</w:t>
      </w:r>
    </w:p>
    <w:p>
      <w:pPr>
        <w:ind w:firstLine="480"/>
      </w:pPr>
      <w:r>
        <w:rPr/>
        <w:t>(1)评标期间，投标人没有按评标委员会的要求提交法定代表人或其委托代理人签字的澄清、说明、补正或改变了投标文件的实质性内容的。</w:t>
      </w:r>
    </w:p>
    <w:p>
      <w:pPr>
        <w:ind w:firstLine="480"/>
      </w:pPr>
      <w:r>
        <w:rPr/>
        <w:t>(2)投标文件提供虚假材料的。</w:t>
      </w:r>
    </w:p>
    <w:p>
      <w:pPr>
        <w:ind w:firstLine="480"/>
      </w:pPr>
      <w:r>
        <w:rPr/>
        <w:t>(3)投标人以他人名义投标、串通投标、以行贿手段谋取中标或者以其他弄虚作假方式投标的。</w:t>
      </w:r>
    </w:p>
    <w:p>
      <w:pPr>
        <w:ind w:firstLine="480"/>
      </w:pPr>
      <w:r>
        <w:rPr/>
        <w:t>(4)投标人对采购人、采购代理机构、评标委员会及其工作人员施加影响，有碍招标公平、公正的。</w:t>
      </w:r>
    </w:p>
    <w:p>
      <w:pPr>
        <w:ind w:firstLine="480"/>
      </w:pPr>
      <w:r>
        <w:rPr/>
        <w:t>(5)投标文件含有采购人不能接受的附加条件的。</w:t>
      </w:r>
    </w:p>
    <w:p>
      <w:pPr>
        <w:ind w:firstLine="480"/>
      </w:pPr>
      <w:r>
        <w:rPr/>
        <w:t>(6)法律、法规和招标文件规定的其他无效情形。</w:t>
      </w:r>
    </w:p>
    <w:p>
      <w:pPr>
        <w:ind w:firstLine="480"/>
      </w:pPr>
    </w:p>
    <w:p>
      <w:r>
        <w:rPr/>
        <w:t xml:space="preserve"> </w:t>
      </w:r>
    </w:p>
    <w:p/>
    <w:p>
      <w:pPr>
        <w:jc w:val="center"/>
      </w:pPr>
      <w:r>
        <w:rPr>
          <w:b/>
          <w:sz w:val="36"/>
        </w:rPr>
        <w:t>第五章 合同文本</w:t>
      </w:r>
    </w:p>
    <w:p>
      <w:pPr>
        <w:ind w:firstLine="480"/>
      </w:pPr>
    </w:p>
    <w:p/>
    <w:p>
      <w:pPr>
        <w:ind w:firstLine="480"/>
        <w:jc w:val="both"/>
      </w:pPr>
      <w:r>
        <w:rPr>
          <w:b/>
          <w:sz w:val="21"/>
        </w:rPr>
        <w:t>注：本合同条款仅供参考，最终以甲方提供的样本并经甲乙双方协商一致的合同为准。</w:t>
      </w:r>
    </w:p>
    <w:p>
      <w:pPr>
        <w:jc w:val="both"/>
      </w:pPr>
    </w:p>
    <w:p>
      <w:pPr>
        <w:jc w:val="center"/>
      </w:pPr>
    </w:p>
    <w:p>
      <w:pPr>
        <w:jc w:val="center"/>
      </w:pPr>
      <w:r>
        <w:rPr>
          <w:b/>
          <w:sz w:val="48"/>
        </w:rPr>
        <w:t>广东省政府采购</w:t>
      </w:r>
    </w:p>
    <w:p>
      <w:pPr>
        <w:jc w:val="both"/>
      </w:pPr>
    </w:p>
    <w:p>
      <w:pPr>
        <w:jc w:val="center"/>
      </w:pPr>
      <w:r>
        <w:rPr>
          <w:b/>
          <w:sz w:val="48"/>
        </w:rPr>
        <w:t>合　同　书</w:t>
      </w:r>
    </w:p>
    <w:p>
      <w:r>
        <w:rPr/>
        <w:t xml:space="preserve"> </w:t>
      </w:r>
    </w:p>
    <w:p>
      <w:pPr>
        <w:jc w:val="center"/>
      </w:pPr>
      <w:r>
        <w:rPr>
          <w:sz w:val="21"/>
        </w:rPr>
        <w:t>(</w:t>
      </w:r>
      <w:r>
        <w:rPr>
          <w:sz w:val="21"/>
        </w:rPr>
        <w:t>本合同为中小企业预留合同</w:t>
      </w:r>
      <w:r>
        <w:rPr>
          <w:sz w:val="21"/>
        </w:rPr>
        <w:t>)</w:t>
      </w:r>
      <w:r>
        <w:br/>
      </w:r>
      <w:r>
        <w:br/>
      </w:r>
      <w:r>
        <w:br/>
      </w:r>
      <w:r>
        <w:br/>
      </w:r>
      <w:r>
        <w:br/>
      </w:r>
      <w:r>
        <w:rPr/>
        <w:t xml:space="preserve"> </w:t>
      </w:r>
    </w:p>
    <w:p>
      <w:pPr>
        <w:jc w:val="center"/>
      </w:pPr>
      <w:r>
        <w:rPr>
          <w:sz w:val="28"/>
        </w:rPr>
        <w:t>采购计划编号：</w:t>
      </w:r>
    </w:p>
    <w:p>
      <w:pPr>
        <w:jc w:val="both"/>
      </w:pPr>
    </w:p>
    <w:p>
      <w:pPr>
        <w:jc w:val="center"/>
      </w:pPr>
      <w:r>
        <w:rPr>
          <w:sz w:val="28"/>
        </w:rPr>
        <w:t>项目编号：</w:t>
      </w:r>
    </w:p>
    <w:p>
      <w:pPr>
        <w:jc w:val="both"/>
      </w:pPr>
    </w:p>
    <w:p>
      <w:pPr>
        <w:jc w:val="center"/>
      </w:pPr>
      <w:r>
        <w:rPr>
          <w:sz w:val="28"/>
        </w:rPr>
        <w:t>项目名称：</w:t>
      </w:r>
    </w:p>
    <w:p>
      <w:pPr>
        <w:jc w:val="center"/>
      </w:pPr>
      <w:r>
        <w:br/>
      </w:r>
      <w:r>
        <w:rPr/>
        <w:t xml:space="preserve"> </w:t>
      </w:r>
    </w:p>
    <w:p>
      <w:pPr>
        <w:jc w:val="center"/>
      </w:pPr>
      <w:r>
        <w:br/>
      </w:r>
      <w:r>
        <w:rPr/>
        <w:t xml:space="preserve"> </w:t>
      </w:r>
    </w:p>
    <w:p>
      <w:pPr>
        <w:jc w:val="center"/>
      </w:pPr>
      <w:r>
        <w:br/>
      </w:r>
      <w:r>
        <w:rPr/>
        <w:t xml:space="preserve"> </w:t>
      </w:r>
    </w:p>
    <w:p>
      <w:pPr>
        <w:jc w:val="center"/>
      </w:pPr>
      <w:r>
        <w:br/>
      </w:r>
      <w:r>
        <w:rPr/>
        <w:t xml:space="preserve"> </w:t>
      </w:r>
    </w:p>
    <w:p>
      <w:pPr>
        <w:jc w:val="both"/>
      </w:pPr>
      <w:r>
        <w:rPr>
          <w:b/>
          <w:sz w:val="27"/>
        </w:rPr>
        <w:t>甲　　方：　　　　　</w:t>
      </w:r>
    </w:p>
    <w:p>
      <w:pPr>
        <w:jc w:val="both"/>
      </w:pPr>
      <w:r>
        <w:rPr>
          <w:sz w:val="27"/>
        </w:rPr>
        <w:t>电　　话：</w:t>
      </w:r>
      <w:r>
        <w:rPr>
          <w:b/>
          <w:sz w:val="27"/>
        </w:rPr>
        <w:t>　　　　</w:t>
      </w:r>
      <w:r>
        <w:rPr>
          <w:sz w:val="27"/>
        </w:rPr>
        <w:t>　　传　　真：</w:t>
      </w:r>
      <w:r>
        <w:rPr>
          <w:b/>
          <w:sz w:val="27"/>
        </w:rPr>
        <w:t>　　　</w:t>
      </w:r>
      <w:r>
        <w:rPr>
          <w:sz w:val="27"/>
        </w:rPr>
        <w:t>　　地　　址：</w:t>
      </w:r>
      <w:r>
        <w:rPr>
          <w:b/>
          <w:sz w:val="27"/>
        </w:rPr>
        <w:t>　　　</w:t>
      </w:r>
    </w:p>
    <w:p>
      <w:pPr>
        <w:jc w:val="both"/>
      </w:pPr>
      <w:r>
        <w:rPr>
          <w:b/>
          <w:sz w:val="27"/>
        </w:rPr>
        <w:t>乙　　方：　　　　　</w:t>
      </w:r>
    </w:p>
    <w:p>
      <w:pPr>
        <w:jc w:val="both"/>
      </w:pPr>
      <w:r>
        <w:rPr>
          <w:sz w:val="27"/>
        </w:rPr>
        <w:t>电　　话：</w:t>
      </w:r>
      <w:r>
        <w:rPr>
          <w:b/>
          <w:sz w:val="27"/>
        </w:rPr>
        <w:t>　　　　</w:t>
      </w:r>
      <w:r>
        <w:rPr>
          <w:sz w:val="27"/>
        </w:rPr>
        <w:t>　　传　　真：</w:t>
      </w:r>
      <w:r>
        <w:rPr>
          <w:b/>
          <w:sz w:val="27"/>
        </w:rPr>
        <w:t>　　　</w:t>
      </w:r>
      <w:r>
        <w:rPr>
          <w:sz w:val="27"/>
        </w:rPr>
        <w:t>　　地　　址：</w:t>
      </w:r>
      <w:r>
        <w:rPr>
          <w:b/>
          <w:sz w:val="27"/>
        </w:rPr>
        <w:t>　　　</w:t>
      </w:r>
    </w:p>
    <w:p>
      <w:pPr>
        <w:jc w:val="both"/>
      </w:pPr>
    </w:p>
    <w:p>
      <w:pPr>
        <w:ind w:firstLine="404"/>
        <w:jc w:val="both"/>
      </w:pPr>
      <w:r>
        <w:rPr>
          <w:sz w:val="27"/>
        </w:rPr>
        <w:t>根据             项目的采购结果，按照《中华人民共和国政府采购法》、《中华人民共和国民法典(合同编)》的规定，经双方协商，本着平等互利和诚实信用的原则，一致同意签订本合同如下。</w:t>
      </w:r>
    </w:p>
    <w:p>
      <w:pPr>
        <w:jc w:val="both"/>
      </w:pPr>
      <w:r>
        <w:rPr>
          <w:b/>
          <w:sz w:val="27"/>
        </w:rPr>
        <w:t>一、货物内容</w:t>
      </w:r>
    </w:p>
    <w:p>
      <w:pPr>
        <w:jc w:val="center"/>
      </w:pPr>
    </w:p>
    <w:tbl>
      <w:tblPr>
        <w:tblW w:w="0" w:type="auto"/>
        <w:tblBorders>
          <w:top w:val="none" w:color="000000" w:sz="4"/>
          <w:left w:val="none" w:color="000000" w:sz="4"/>
          <w:bottom w:val="none" w:color="000000" w:sz="4"/>
          <w:right w:val="none" w:color="000000" w:sz="4"/>
          <w:insideH w:val="none"/>
          <w:insideV w:val="none"/>
        </w:tblBorders>
      </w:tblPr>
      <w:tblGrid>
        <w:gridCol w:w="552"/>
        <w:gridCol w:w="881"/>
        <w:gridCol w:w="926"/>
        <w:gridCol w:w="971"/>
        <w:gridCol w:w="806"/>
        <w:gridCol w:w="1060"/>
        <w:gridCol w:w="732"/>
        <w:gridCol w:w="836"/>
        <w:gridCol w:w="761"/>
        <w:gridCol w:w="776"/>
      </w:tblGrid>
      <w:tr>
        <w:tc>
          <w:tcPr>
            <w:tcW w:type="dxa" w:w="552"/>
            <w:tcBorders>
              <w:top w:val="single" w:color="000000" w:sz="4"/>
              <w:left w:val="single" w:color="000000" w:sz="4"/>
              <w:bottom w:val="single" w:color="000000" w:sz="4"/>
              <w:right w:val="single" w:color="000000" w:sz="4"/>
            </w:tcBorders>
            <w:shd w:fill="D8D8D8"/>
          </w:tcPr>
          <w:p>
            <w:pPr>
              <w:jc w:val="center"/>
            </w:pPr>
            <w:r>
              <w:rPr>
                <w:b/>
                <w:sz w:val="21"/>
              </w:rPr>
              <w:t>序号</w:t>
            </w:r>
          </w:p>
        </w:tc>
        <w:tc>
          <w:tcPr>
            <w:tcW w:type="dxa" w:w="881"/>
            <w:tcBorders>
              <w:top w:val="single" w:color="000000" w:sz="4"/>
              <w:left w:val="none" w:color="000000" w:sz="4"/>
              <w:bottom w:val="single" w:color="000000" w:sz="4"/>
              <w:right w:val="single" w:color="000000" w:sz="4"/>
            </w:tcBorders>
            <w:shd w:fill="D8D8D8"/>
          </w:tcPr>
          <w:p>
            <w:pPr>
              <w:jc w:val="center"/>
            </w:pPr>
            <w:r>
              <w:rPr>
                <w:b/>
                <w:sz w:val="21"/>
              </w:rPr>
              <w:t>货物名称</w:t>
            </w:r>
          </w:p>
        </w:tc>
        <w:tc>
          <w:tcPr>
            <w:tcW w:type="dxa" w:w="926"/>
            <w:tcBorders>
              <w:top w:val="single" w:color="000000" w:sz="4"/>
              <w:left w:val="none" w:color="000000" w:sz="4"/>
              <w:bottom w:val="single" w:color="000000" w:sz="4"/>
              <w:right w:val="single" w:color="000000" w:sz="4"/>
            </w:tcBorders>
            <w:shd w:fill="D8D8D8"/>
          </w:tcPr>
          <w:p>
            <w:pPr>
              <w:jc w:val="center"/>
            </w:pPr>
            <w:r>
              <w:rPr>
                <w:b/>
                <w:sz w:val="21"/>
              </w:rPr>
              <w:t>规格</w:t>
            </w:r>
          </w:p>
          <w:p>
            <w:pPr>
              <w:jc w:val="center"/>
            </w:pPr>
            <w:r>
              <w:rPr>
                <w:b/>
                <w:sz w:val="21"/>
              </w:rPr>
              <w:t>型号</w:t>
            </w:r>
          </w:p>
        </w:tc>
        <w:tc>
          <w:tcPr>
            <w:tcW w:type="dxa" w:w="971"/>
            <w:tcBorders>
              <w:top w:val="single" w:color="000000" w:sz="4"/>
              <w:left w:val="none" w:color="000000" w:sz="4"/>
              <w:bottom w:val="single" w:color="000000" w:sz="4"/>
              <w:right w:val="single" w:color="000000" w:sz="4"/>
            </w:tcBorders>
            <w:shd w:fill="D8D8D8"/>
          </w:tcPr>
          <w:p>
            <w:pPr>
              <w:jc w:val="center"/>
            </w:pPr>
            <w:r>
              <w:rPr>
                <w:b/>
                <w:sz w:val="21"/>
              </w:rPr>
              <w:t>品牌</w:t>
            </w:r>
          </w:p>
        </w:tc>
        <w:tc>
          <w:tcPr>
            <w:tcW w:type="dxa" w:w="806"/>
            <w:tcBorders>
              <w:top w:val="single" w:color="000000" w:sz="4"/>
              <w:left w:val="none" w:color="000000" w:sz="4"/>
              <w:bottom w:val="single" w:color="000000" w:sz="4"/>
              <w:right w:val="single" w:color="000000" w:sz="4"/>
            </w:tcBorders>
            <w:shd w:fill="D8D8D8"/>
          </w:tcPr>
          <w:p>
            <w:pPr>
              <w:jc w:val="center"/>
            </w:pPr>
            <w:r>
              <w:rPr>
                <w:b/>
                <w:sz w:val="21"/>
              </w:rPr>
              <w:t>产地</w:t>
            </w:r>
          </w:p>
        </w:tc>
        <w:tc>
          <w:tcPr>
            <w:tcW w:type="dxa" w:w="1060"/>
            <w:tcBorders>
              <w:top w:val="single" w:color="000000" w:sz="4"/>
              <w:left w:val="none" w:color="000000" w:sz="4"/>
              <w:bottom w:val="single" w:color="000000" w:sz="4"/>
              <w:right w:val="single" w:color="000000" w:sz="4"/>
            </w:tcBorders>
            <w:shd w:fill="D8D8D8"/>
          </w:tcPr>
          <w:p>
            <w:pPr>
              <w:jc w:val="center"/>
            </w:pPr>
            <w:r>
              <w:rPr>
                <w:b/>
                <w:sz w:val="21"/>
              </w:rPr>
              <w:t>制造商名称</w:t>
            </w:r>
          </w:p>
        </w:tc>
        <w:tc>
          <w:tcPr>
            <w:tcW w:type="dxa" w:w="732"/>
            <w:tcBorders>
              <w:top w:val="single" w:color="000000" w:sz="4"/>
              <w:left w:val="none" w:color="000000" w:sz="4"/>
              <w:bottom w:val="single" w:color="000000" w:sz="4"/>
              <w:right w:val="single" w:color="000000" w:sz="4"/>
            </w:tcBorders>
            <w:shd w:fill="D8D8D8"/>
          </w:tcPr>
          <w:p>
            <w:pPr>
              <w:jc w:val="center"/>
            </w:pPr>
            <w:r>
              <w:rPr>
                <w:b/>
                <w:sz w:val="21"/>
              </w:rPr>
              <w:t>单位</w:t>
            </w:r>
          </w:p>
        </w:tc>
        <w:tc>
          <w:tcPr>
            <w:tcW w:type="dxa" w:w="836"/>
            <w:tcBorders>
              <w:top w:val="single" w:color="000000" w:sz="4"/>
              <w:left w:val="none" w:color="000000" w:sz="4"/>
              <w:bottom w:val="single" w:color="000000" w:sz="4"/>
              <w:right w:val="single" w:color="000000" w:sz="4"/>
            </w:tcBorders>
            <w:shd w:fill="D8D8D8"/>
          </w:tcPr>
          <w:p>
            <w:pPr>
              <w:jc w:val="center"/>
            </w:pPr>
            <w:r>
              <w:rPr>
                <w:b/>
                <w:sz w:val="21"/>
              </w:rPr>
              <w:t>数量</w:t>
            </w:r>
          </w:p>
        </w:tc>
        <w:tc>
          <w:tcPr>
            <w:tcW w:type="dxa" w:w="761"/>
            <w:tcBorders>
              <w:top w:val="single" w:color="000000" w:sz="4"/>
              <w:left w:val="none" w:color="000000" w:sz="4"/>
              <w:bottom w:val="single" w:color="000000" w:sz="4"/>
              <w:right w:val="single" w:color="000000" w:sz="4"/>
            </w:tcBorders>
            <w:shd w:fill="D8D8D8"/>
          </w:tcPr>
          <w:p>
            <w:pPr>
              <w:jc w:val="center"/>
            </w:pPr>
            <w:r>
              <w:rPr>
                <w:b/>
                <w:sz w:val="21"/>
              </w:rPr>
              <w:t>单价</w:t>
            </w:r>
          </w:p>
          <w:p>
            <w:pPr>
              <w:jc w:val="center"/>
            </w:pPr>
            <w:r>
              <w:rPr>
                <w:b/>
                <w:sz w:val="21"/>
              </w:rPr>
              <w:t>（元）</w:t>
            </w:r>
          </w:p>
        </w:tc>
        <w:tc>
          <w:tcPr>
            <w:tcW w:type="dxa" w:w="776"/>
            <w:tcBorders>
              <w:top w:val="single" w:color="000000" w:sz="4"/>
              <w:left w:val="none" w:color="000000" w:sz="4"/>
              <w:bottom w:val="single" w:color="000000" w:sz="4"/>
              <w:right w:val="single" w:color="000000" w:sz="4"/>
            </w:tcBorders>
            <w:shd w:fill="D8D8D8"/>
          </w:tcPr>
          <w:p>
            <w:pPr>
              <w:jc w:val="center"/>
            </w:pPr>
            <w:r>
              <w:rPr>
                <w:b/>
                <w:sz w:val="21"/>
              </w:rPr>
              <w:t>总价（元）</w:t>
            </w:r>
          </w:p>
        </w:tc>
      </w:tr>
      <w:tr>
        <w:tc>
          <w:tcPr>
            <w:tcW w:type="dxa" w:w="552"/>
            <w:tcBorders>
              <w:top w:val="none" w:color="000000" w:sz="4"/>
              <w:left w:val="single" w:color="000000" w:sz="4"/>
              <w:bottom w:val="single" w:color="000000" w:sz="4"/>
              <w:right w:val="single" w:color="000000" w:sz="4"/>
            </w:tcBorders>
            <w:vAlign w:val="top"/>
          </w:tcPr>
          <w:p>
            <w:pPr>
              <w:jc w:val="both"/>
            </w:pPr>
          </w:p>
        </w:tc>
        <w:tc>
          <w:tcPr>
            <w:tcW w:type="dxa" w:w="881"/>
            <w:tcBorders>
              <w:top w:val="none" w:color="000000" w:sz="4"/>
              <w:left w:val="none" w:color="000000" w:sz="4"/>
              <w:bottom w:val="single" w:color="000000" w:sz="4"/>
              <w:right w:val="single" w:color="000000" w:sz="4"/>
            </w:tcBorders>
            <w:vAlign w:val="top"/>
          </w:tcPr>
          <w:p>
            <w:pPr>
              <w:jc w:val="both"/>
            </w:pPr>
          </w:p>
        </w:tc>
        <w:tc>
          <w:tcPr>
            <w:tcW w:type="dxa" w:w="926"/>
            <w:tcBorders>
              <w:top w:val="none" w:color="000000" w:sz="4"/>
              <w:left w:val="none" w:color="000000" w:sz="4"/>
              <w:bottom w:val="single" w:color="000000" w:sz="4"/>
              <w:right w:val="single" w:color="000000" w:sz="4"/>
            </w:tcBorders>
            <w:vAlign w:val="top"/>
          </w:tcPr>
          <w:p>
            <w:pPr>
              <w:jc w:val="both"/>
            </w:pPr>
          </w:p>
        </w:tc>
        <w:tc>
          <w:tcPr>
            <w:tcW w:type="dxa" w:w="971"/>
            <w:tcBorders>
              <w:top w:val="none" w:color="000000" w:sz="4"/>
              <w:left w:val="none" w:color="000000" w:sz="4"/>
              <w:bottom w:val="single" w:color="000000" w:sz="4"/>
              <w:right w:val="single" w:color="000000" w:sz="4"/>
            </w:tcBorders>
            <w:vAlign w:val="top"/>
          </w:tcPr>
          <w:p>
            <w:pPr>
              <w:jc w:val="both"/>
            </w:pPr>
          </w:p>
        </w:tc>
        <w:tc>
          <w:tcPr>
            <w:tcW w:type="dxa" w:w="806"/>
            <w:tcBorders>
              <w:top w:val="none" w:color="000000" w:sz="4"/>
              <w:left w:val="none" w:color="000000" w:sz="4"/>
              <w:bottom w:val="single" w:color="000000" w:sz="4"/>
              <w:right w:val="single" w:color="000000" w:sz="4"/>
            </w:tcBorders>
            <w:vAlign w:val="top"/>
          </w:tcPr>
          <w:p>
            <w:pPr>
              <w:jc w:val="both"/>
            </w:pPr>
          </w:p>
        </w:tc>
        <w:tc>
          <w:tcPr>
            <w:tcW w:type="dxa" w:w="1060"/>
            <w:tcBorders>
              <w:top w:val="none" w:color="000000" w:sz="4"/>
              <w:left w:val="none" w:color="000000" w:sz="4"/>
              <w:bottom w:val="single" w:color="000000" w:sz="4"/>
              <w:right w:val="single" w:color="000000" w:sz="4"/>
            </w:tcBorders>
            <w:vAlign w:val="top"/>
          </w:tcPr>
          <w:p>
            <w:pPr>
              <w:jc w:val="both"/>
            </w:pPr>
          </w:p>
        </w:tc>
        <w:tc>
          <w:tcPr>
            <w:tcW w:type="dxa" w:w="732"/>
            <w:tcBorders>
              <w:top w:val="none" w:color="000000" w:sz="4"/>
              <w:left w:val="none" w:color="000000" w:sz="4"/>
              <w:bottom w:val="single" w:color="000000" w:sz="4"/>
              <w:right w:val="single" w:color="000000" w:sz="4"/>
            </w:tcBorders>
            <w:vAlign w:val="top"/>
          </w:tcPr>
          <w:p>
            <w:pPr>
              <w:jc w:val="both"/>
            </w:pPr>
          </w:p>
        </w:tc>
        <w:tc>
          <w:tcPr>
            <w:tcW w:type="dxa" w:w="836"/>
            <w:tcBorders>
              <w:top w:val="none" w:color="000000" w:sz="4"/>
              <w:left w:val="none" w:color="000000" w:sz="4"/>
              <w:bottom w:val="single" w:color="000000" w:sz="4"/>
              <w:right w:val="single" w:color="000000" w:sz="4"/>
            </w:tcBorders>
            <w:vAlign w:val="top"/>
          </w:tcPr>
          <w:p>
            <w:pPr>
              <w:jc w:val="both"/>
            </w:pPr>
          </w:p>
        </w:tc>
        <w:tc>
          <w:tcPr>
            <w:tcW w:type="dxa" w:w="761"/>
            <w:tcBorders>
              <w:top w:val="none" w:color="000000" w:sz="4"/>
              <w:left w:val="none" w:color="000000" w:sz="4"/>
              <w:bottom w:val="single" w:color="000000" w:sz="4"/>
              <w:right w:val="single" w:color="000000" w:sz="4"/>
            </w:tcBorders>
            <w:vAlign w:val="top"/>
          </w:tcPr>
          <w:p>
            <w:pPr>
              <w:jc w:val="both"/>
            </w:pPr>
          </w:p>
        </w:tc>
        <w:tc>
          <w:tcPr>
            <w:tcW w:type="dxa" w:w="776"/>
            <w:tcBorders>
              <w:top w:val="none" w:color="000000" w:sz="4"/>
              <w:left w:val="none" w:color="000000" w:sz="4"/>
              <w:bottom w:val="single" w:color="000000" w:sz="4"/>
              <w:right w:val="single" w:color="000000" w:sz="4"/>
            </w:tcBorders>
            <w:vAlign w:val="top"/>
          </w:tcPr>
          <w:p>
            <w:pPr>
              <w:jc w:val="both"/>
            </w:pPr>
          </w:p>
        </w:tc>
      </w:tr>
      <w:tr>
        <w:tc>
          <w:tcPr>
            <w:tcW w:type="dxa" w:w="552"/>
            <w:tcBorders>
              <w:top w:val="none" w:color="000000" w:sz="4"/>
              <w:left w:val="single" w:color="000000" w:sz="4"/>
              <w:bottom w:val="single" w:color="000000" w:sz="4"/>
              <w:right w:val="single" w:color="000000" w:sz="4"/>
            </w:tcBorders>
            <w:vAlign w:val="top"/>
          </w:tcPr>
          <w:p>
            <w:pPr>
              <w:jc w:val="both"/>
            </w:pPr>
          </w:p>
        </w:tc>
        <w:tc>
          <w:tcPr>
            <w:tcW w:type="dxa" w:w="881"/>
            <w:tcBorders>
              <w:top w:val="none" w:color="000000" w:sz="4"/>
              <w:left w:val="none" w:color="000000" w:sz="4"/>
              <w:bottom w:val="single" w:color="000000" w:sz="4"/>
              <w:right w:val="single" w:color="000000" w:sz="4"/>
            </w:tcBorders>
            <w:vAlign w:val="top"/>
          </w:tcPr>
          <w:p>
            <w:pPr>
              <w:jc w:val="both"/>
            </w:pPr>
          </w:p>
        </w:tc>
        <w:tc>
          <w:tcPr>
            <w:tcW w:type="dxa" w:w="926"/>
            <w:tcBorders>
              <w:top w:val="none" w:color="000000" w:sz="4"/>
              <w:left w:val="none" w:color="000000" w:sz="4"/>
              <w:bottom w:val="single" w:color="000000" w:sz="4"/>
              <w:right w:val="single" w:color="000000" w:sz="4"/>
            </w:tcBorders>
            <w:vAlign w:val="top"/>
          </w:tcPr>
          <w:p>
            <w:pPr>
              <w:jc w:val="both"/>
            </w:pPr>
          </w:p>
        </w:tc>
        <w:tc>
          <w:tcPr>
            <w:tcW w:type="dxa" w:w="971"/>
            <w:tcBorders>
              <w:top w:val="none" w:color="000000" w:sz="4"/>
              <w:left w:val="none" w:color="000000" w:sz="4"/>
              <w:bottom w:val="single" w:color="000000" w:sz="4"/>
              <w:right w:val="single" w:color="000000" w:sz="4"/>
            </w:tcBorders>
            <w:vAlign w:val="top"/>
          </w:tcPr>
          <w:p>
            <w:pPr>
              <w:jc w:val="both"/>
            </w:pPr>
          </w:p>
        </w:tc>
        <w:tc>
          <w:tcPr>
            <w:tcW w:type="dxa" w:w="806"/>
            <w:tcBorders>
              <w:top w:val="none" w:color="000000" w:sz="4"/>
              <w:left w:val="none" w:color="000000" w:sz="4"/>
              <w:bottom w:val="single" w:color="000000" w:sz="4"/>
              <w:right w:val="single" w:color="000000" w:sz="4"/>
            </w:tcBorders>
            <w:vAlign w:val="top"/>
          </w:tcPr>
          <w:p>
            <w:pPr>
              <w:jc w:val="both"/>
            </w:pPr>
          </w:p>
        </w:tc>
        <w:tc>
          <w:tcPr>
            <w:tcW w:type="dxa" w:w="1060"/>
            <w:tcBorders>
              <w:top w:val="none" w:color="000000" w:sz="4"/>
              <w:left w:val="none" w:color="000000" w:sz="4"/>
              <w:bottom w:val="single" w:color="000000" w:sz="4"/>
              <w:right w:val="single" w:color="000000" w:sz="4"/>
            </w:tcBorders>
            <w:vAlign w:val="top"/>
          </w:tcPr>
          <w:p>
            <w:pPr>
              <w:jc w:val="both"/>
            </w:pPr>
          </w:p>
        </w:tc>
        <w:tc>
          <w:tcPr>
            <w:tcW w:type="dxa" w:w="732"/>
            <w:tcBorders>
              <w:top w:val="none" w:color="000000" w:sz="4"/>
              <w:left w:val="none" w:color="000000" w:sz="4"/>
              <w:bottom w:val="single" w:color="000000" w:sz="4"/>
              <w:right w:val="single" w:color="000000" w:sz="4"/>
            </w:tcBorders>
            <w:vAlign w:val="top"/>
          </w:tcPr>
          <w:p>
            <w:pPr>
              <w:jc w:val="both"/>
            </w:pPr>
          </w:p>
        </w:tc>
        <w:tc>
          <w:tcPr>
            <w:tcW w:type="dxa" w:w="836"/>
            <w:tcBorders>
              <w:top w:val="none" w:color="000000" w:sz="4"/>
              <w:left w:val="none" w:color="000000" w:sz="4"/>
              <w:bottom w:val="single" w:color="000000" w:sz="4"/>
              <w:right w:val="single" w:color="000000" w:sz="4"/>
            </w:tcBorders>
            <w:vAlign w:val="top"/>
          </w:tcPr>
          <w:p>
            <w:pPr>
              <w:jc w:val="both"/>
            </w:pPr>
          </w:p>
        </w:tc>
        <w:tc>
          <w:tcPr>
            <w:tcW w:type="dxa" w:w="761"/>
            <w:tcBorders>
              <w:top w:val="none" w:color="000000" w:sz="4"/>
              <w:left w:val="none" w:color="000000" w:sz="4"/>
              <w:bottom w:val="single" w:color="000000" w:sz="4"/>
              <w:right w:val="single" w:color="000000" w:sz="4"/>
            </w:tcBorders>
            <w:vAlign w:val="top"/>
          </w:tcPr>
          <w:p>
            <w:pPr>
              <w:jc w:val="both"/>
            </w:pPr>
          </w:p>
        </w:tc>
        <w:tc>
          <w:tcPr>
            <w:tcW w:type="dxa" w:w="776"/>
            <w:tcBorders>
              <w:top w:val="none" w:color="000000" w:sz="4"/>
              <w:left w:val="none" w:color="000000" w:sz="4"/>
              <w:bottom w:val="single" w:color="000000" w:sz="4"/>
              <w:right w:val="single" w:color="000000" w:sz="4"/>
            </w:tcBorders>
            <w:vAlign w:val="top"/>
          </w:tcPr>
          <w:p>
            <w:pPr>
              <w:jc w:val="both"/>
            </w:pPr>
          </w:p>
        </w:tc>
      </w:tr>
      <w:tr>
        <w:tc>
          <w:tcPr>
            <w:tcW w:type="dxa" w:w="552"/>
            <w:tcBorders>
              <w:top w:val="none" w:color="000000" w:sz="4"/>
              <w:left w:val="single" w:color="000000" w:sz="4"/>
              <w:bottom w:val="single" w:color="000000" w:sz="4"/>
              <w:right w:val="single" w:color="000000" w:sz="4"/>
            </w:tcBorders>
            <w:vAlign w:val="top"/>
          </w:tcPr>
          <w:p>
            <w:pPr>
              <w:jc w:val="both"/>
            </w:pPr>
          </w:p>
        </w:tc>
        <w:tc>
          <w:tcPr>
            <w:tcW w:type="dxa" w:w="881"/>
            <w:tcBorders>
              <w:top w:val="none" w:color="000000" w:sz="4"/>
              <w:left w:val="none" w:color="000000" w:sz="4"/>
              <w:bottom w:val="single" w:color="000000" w:sz="4"/>
              <w:right w:val="single" w:color="000000" w:sz="4"/>
            </w:tcBorders>
            <w:vAlign w:val="top"/>
          </w:tcPr>
          <w:p>
            <w:pPr>
              <w:jc w:val="both"/>
            </w:pPr>
          </w:p>
        </w:tc>
        <w:tc>
          <w:tcPr>
            <w:tcW w:type="dxa" w:w="926"/>
            <w:tcBorders>
              <w:top w:val="none" w:color="000000" w:sz="4"/>
              <w:left w:val="none" w:color="000000" w:sz="4"/>
              <w:bottom w:val="single" w:color="000000" w:sz="4"/>
              <w:right w:val="single" w:color="000000" w:sz="4"/>
            </w:tcBorders>
            <w:vAlign w:val="top"/>
          </w:tcPr>
          <w:p>
            <w:pPr>
              <w:jc w:val="both"/>
            </w:pPr>
          </w:p>
        </w:tc>
        <w:tc>
          <w:tcPr>
            <w:tcW w:type="dxa" w:w="971"/>
            <w:tcBorders>
              <w:top w:val="none" w:color="000000" w:sz="4"/>
              <w:left w:val="none" w:color="000000" w:sz="4"/>
              <w:bottom w:val="single" w:color="000000" w:sz="4"/>
              <w:right w:val="single" w:color="000000" w:sz="4"/>
            </w:tcBorders>
            <w:vAlign w:val="top"/>
          </w:tcPr>
          <w:p>
            <w:pPr>
              <w:jc w:val="both"/>
            </w:pPr>
          </w:p>
        </w:tc>
        <w:tc>
          <w:tcPr>
            <w:tcW w:type="dxa" w:w="806"/>
            <w:tcBorders>
              <w:top w:val="none" w:color="000000" w:sz="4"/>
              <w:left w:val="none" w:color="000000" w:sz="4"/>
              <w:bottom w:val="single" w:color="000000" w:sz="4"/>
              <w:right w:val="single" w:color="000000" w:sz="4"/>
            </w:tcBorders>
            <w:vAlign w:val="top"/>
          </w:tcPr>
          <w:p>
            <w:pPr>
              <w:jc w:val="both"/>
            </w:pPr>
          </w:p>
        </w:tc>
        <w:tc>
          <w:tcPr>
            <w:tcW w:type="dxa" w:w="1060"/>
            <w:tcBorders>
              <w:top w:val="none" w:color="000000" w:sz="4"/>
              <w:left w:val="none" w:color="000000" w:sz="4"/>
              <w:bottom w:val="single" w:color="000000" w:sz="4"/>
              <w:right w:val="single" w:color="000000" w:sz="4"/>
            </w:tcBorders>
            <w:vAlign w:val="top"/>
          </w:tcPr>
          <w:p>
            <w:pPr>
              <w:jc w:val="both"/>
            </w:pPr>
          </w:p>
        </w:tc>
        <w:tc>
          <w:tcPr>
            <w:tcW w:type="dxa" w:w="732"/>
            <w:tcBorders>
              <w:top w:val="none" w:color="000000" w:sz="4"/>
              <w:left w:val="none" w:color="000000" w:sz="4"/>
              <w:bottom w:val="single" w:color="000000" w:sz="4"/>
              <w:right w:val="single" w:color="000000" w:sz="4"/>
            </w:tcBorders>
            <w:vAlign w:val="top"/>
          </w:tcPr>
          <w:p>
            <w:pPr>
              <w:jc w:val="both"/>
            </w:pPr>
          </w:p>
        </w:tc>
        <w:tc>
          <w:tcPr>
            <w:tcW w:type="dxa" w:w="836"/>
            <w:tcBorders>
              <w:top w:val="none" w:color="000000" w:sz="4"/>
              <w:left w:val="none" w:color="000000" w:sz="4"/>
              <w:bottom w:val="single" w:color="000000" w:sz="4"/>
              <w:right w:val="single" w:color="000000" w:sz="4"/>
            </w:tcBorders>
            <w:vAlign w:val="top"/>
          </w:tcPr>
          <w:p>
            <w:pPr>
              <w:jc w:val="both"/>
            </w:pPr>
          </w:p>
        </w:tc>
        <w:tc>
          <w:tcPr>
            <w:tcW w:type="dxa" w:w="761"/>
            <w:tcBorders>
              <w:top w:val="none" w:color="000000" w:sz="4"/>
              <w:left w:val="none" w:color="000000" w:sz="4"/>
              <w:bottom w:val="single" w:color="000000" w:sz="4"/>
              <w:right w:val="single" w:color="000000" w:sz="4"/>
            </w:tcBorders>
            <w:vAlign w:val="top"/>
          </w:tcPr>
          <w:p>
            <w:pPr>
              <w:jc w:val="both"/>
            </w:pPr>
          </w:p>
        </w:tc>
        <w:tc>
          <w:tcPr>
            <w:tcW w:type="dxa" w:w="776"/>
            <w:tcBorders>
              <w:top w:val="none" w:color="000000" w:sz="4"/>
              <w:left w:val="none" w:color="000000" w:sz="4"/>
              <w:bottom w:val="single" w:color="000000" w:sz="4"/>
              <w:right w:val="single" w:color="000000" w:sz="4"/>
            </w:tcBorders>
            <w:vAlign w:val="top"/>
          </w:tcPr>
          <w:p>
            <w:pPr>
              <w:jc w:val="both"/>
            </w:pPr>
          </w:p>
        </w:tc>
      </w:tr>
      <w:tr>
        <w:tc>
          <w:tcPr>
            <w:tcW w:type="dxa" w:w="8301"/>
            <w:gridSpan w:val="10"/>
            <w:tcBorders>
              <w:top w:val="none" w:color="000000" w:sz="4"/>
              <w:left w:val="single" w:color="000000" w:sz="4"/>
              <w:bottom w:val="single" w:color="000000" w:sz="4"/>
              <w:right w:val="single" w:color="000000" w:sz="4"/>
            </w:tcBorders>
            <w:vAlign w:val="top"/>
          </w:tcPr>
          <w:p>
            <w:pPr>
              <w:jc w:val="both"/>
            </w:pPr>
            <w:r>
              <w:rPr>
                <w:sz w:val="19"/>
              </w:rPr>
              <w:t>合计总额：￥</w:t>
            </w:r>
            <w:r>
              <w:rPr>
                <w:sz w:val="21"/>
              </w:rPr>
              <w:t xml:space="preserve">                            </w:t>
            </w:r>
            <w:r>
              <w:rPr>
                <w:sz w:val="19"/>
              </w:rPr>
              <w:t>；人民币大写：</w:t>
            </w:r>
          </w:p>
        </w:tc>
      </w:tr>
    </w:tbl>
    <w:p>
      <w:pPr>
        <w:jc w:val="both"/>
      </w:pPr>
    </w:p>
    <w:p>
      <w:pPr>
        <w:ind w:firstLine="403"/>
        <w:jc w:val="both"/>
      </w:pPr>
      <w:r>
        <w:rPr>
          <w:sz w:val="24"/>
        </w:rPr>
        <w:t>合同总额包括乙方设计、安装、随机零配件、标配工具、运输保险、调试、培训、质保期服务、各项税费及合同实施过程中不可预见费用等。</w:t>
      </w:r>
    </w:p>
    <w:p>
      <w:pPr>
        <w:ind w:firstLine="403"/>
        <w:jc w:val="both"/>
      </w:pPr>
      <w:r>
        <w:rPr>
          <w:sz w:val="24"/>
        </w:rPr>
        <w:t>注：货物名称内容必须与投标文件中货物名称内容一致。</w:t>
      </w:r>
    </w:p>
    <w:p>
      <w:pPr>
        <w:jc w:val="both"/>
      </w:pPr>
      <w:r>
        <w:rPr>
          <w:b/>
          <w:sz w:val="27"/>
        </w:rPr>
        <w:t>二、合同金额</w:t>
      </w:r>
    </w:p>
    <w:p>
      <w:pPr>
        <w:jc w:val="both"/>
      </w:pPr>
      <w:r>
        <w:rPr>
          <w:sz w:val="24"/>
        </w:rPr>
        <w:t>合同金额为（大写）：</w:t>
      </w:r>
      <w:r>
        <w:rPr>
          <w:sz w:val="27"/>
        </w:rPr>
        <w:t>__________</w:t>
      </w:r>
      <w:r>
        <w:rPr>
          <w:sz w:val="24"/>
        </w:rPr>
        <w:t>元（￥</w:t>
      </w:r>
      <w:r>
        <w:rPr>
          <w:sz w:val="27"/>
        </w:rPr>
        <w:t>______________</w:t>
      </w:r>
      <w:r>
        <w:rPr>
          <w:sz w:val="27"/>
        </w:rPr>
        <w:t>元）</w:t>
      </w:r>
      <w:r>
        <w:rPr>
          <w:sz w:val="24"/>
        </w:rPr>
        <w:t>人民</w:t>
      </w:r>
      <w:r>
        <w:rPr>
          <w:sz w:val="27"/>
        </w:rPr>
        <w:t>币。</w:t>
      </w:r>
    </w:p>
    <w:p>
      <w:pPr>
        <w:jc w:val="both"/>
      </w:pPr>
      <w:r>
        <w:rPr>
          <w:b/>
          <w:sz w:val="27"/>
        </w:rPr>
        <w:t>三、质量要求和技术标准</w:t>
      </w:r>
    </w:p>
    <w:p>
      <w:pPr>
        <w:ind w:firstLine="480"/>
        <w:jc w:val="both"/>
      </w:pPr>
      <w:r>
        <w:rPr>
          <w:sz w:val="24"/>
        </w:rPr>
        <w:t>1.</w:t>
      </w:r>
      <w:r>
        <w:rPr>
          <w:sz w:val="24"/>
        </w:rPr>
        <w:t>产品质量应符合中华人民共和国国家安全质量标准、环保标准、行业标准货货物来源国官方标准，以及本项目招标文件的质量要求和技术指标与出厂标准。货物制造质量出现问题，乙方应负责三包（包修、包换、包退），费用由中标人负担；</w:t>
      </w:r>
    </w:p>
    <w:p>
      <w:pPr>
        <w:ind w:firstLine="480"/>
        <w:jc w:val="both"/>
      </w:pPr>
      <w:r>
        <w:rPr>
          <w:sz w:val="24"/>
        </w:rPr>
        <w:t>2.</w:t>
      </w:r>
      <w:r>
        <w:rPr>
          <w:sz w:val="24"/>
        </w:rPr>
        <w:t>产品所有技术性能规格及参数，应符合招标文件和中标人投标文件所要求的技术标准及生产厂商公开的宣传资料和生产厂商官方网站宣传内容的标准要求；</w:t>
      </w:r>
    </w:p>
    <w:p>
      <w:pPr>
        <w:ind w:firstLine="403"/>
        <w:jc w:val="both"/>
      </w:pPr>
      <w:r>
        <w:rPr>
          <w:sz w:val="24"/>
        </w:rPr>
        <w:t>3.</w:t>
      </w:r>
      <w:r>
        <w:rPr>
          <w:sz w:val="24"/>
        </w:rPr>
        <w:t>乙方应保证提供的产品是全新未使用过的原厂合格正品（包括零部件），表面无划损、无任何缺陷隐患，在中国境内可依常规安全合法使用。</w:t>
      </w:r>
    </w:p>
    <w:p>
      <w:pPr>
        <w:ind w:firstLine="403"/>
        <w:jc w:val="both"/>
      </w:pPr>
      <w:r>
        <w:rPr>
          <w:sz w:val="24"/>
        </w:rPr>
        <w:t>4.</w:t>
      </w:r>
      <w:r>
        <w:rPr>
          <w:sz w:val="24"/>
        </w:rPr>
        <w:t>乙方应保证提供的货物不侵犯任何第三方的专利、商标或版权等知识产权。否则，乙方须承担对第三方的专利或版权的侵权责任并承担因此而发生的所有费用；</w:t>
      </w:r>
    </w:p>
    <w:p>
      <w:pPr>
        <w:ind w:firstLine="480"/>
        <w:jc w:val="both"/>
      </w:pPr>
      <w:r>
        <w:rPr>
          <w:sz w:val="24"/>
        </w:rPr>
        <w:t>5.</w:t>
      </w:r>
      <w:r>
        <w:rPr>
          <w:sz w:val="24"/>
        </w:rPr>
        <w:t>乙方提供的货物未达到招标文件规定要求，且对采购人造成损失的，由乙方承担一切责任，并赔偿所造成的损失</w:t>
      </w:r>
    </w:p>
    <w:p>
      <w:pPr>
        <w:jc w:val="both"/>
      </w:pPr>
      <w:r>
        <w:rPr>
          <w:b/>
          <w:sz w:val="27"/>
        </w:rPr>
        <w:t>四、包装、保险及发运、保管要求</w:t>
      </w:r>
    </w:p>
    <w:p>
      <w:pPr>
        <w:ind w:firstLine="480"/>
        <w:jc w:val="both"/>
      </w:pPr>
      <w:r>
        <w:rPr>
          <w:sz w:val="24"/>
        </w:rPr>
        <w:t>1.</w:t>
      </w:r>
      <w:r>
        <w:rPr>
          <w:sz w:val="24"/>
        </w:rPr>
        <w:t>设备材料的包装必须是制造商原厂包装，其包装均应有良好的防湿、防锈、防潮、防雨、防腐及防碰撞的措施。凡由于包装不良造成的损失和由此产生的费用均由乙方承担。</w:t>
      </w:r>
    </w:p>
    <w:p>
      <w:pPr>
        <w:ind w:firstLine="480"/>
        <w:jc w:val="both"/>
      </w:pPr>
      <w:r>
        <w:rPr>
          <w:sz w:val="24"/>
        </w:rPr>
        <w:t>2.</w:t>
      </w:r>
      <w:r>
        <w:rPr>
          <w:sz w:val="24"/>
        </w:rPr>
        <w:t>乙方负责将设备材料货到现场过程中的全部运输和相关费用，包括装卸车、货物现场的搬运和人工费等，包括装卸车、货物现场的搬运。</w:t>
      </w:r>
    </w:p>
    <w:p>
      <w:pPr>
        <w:ind w:firstLine="480"/>
        <w:jc w:val="both"/>
      </w:pPr>
      <w:r>
        <w:rPr>
          <w:sz w:val="24"/>
        </w:rPr>
        <w:t>3.</w:t>
      </w:r>
      <w:r>
        <w:rPr>
          <w:sz w:val="24"/>
        </w:rPr>
        <w:t>各种设备必须提供装箱清单，按装箱清单验收货物。</w:t>
      </w:r>
    </w:p>
    <w:p>
      <w:pPr>
        <w:ind w:firstLine="480"/>
        <w:jc w:val="both"/>
      </w:pPr>
      <w:r>
        <w:rPr>
          <w:sz w:val="24"/>
        </w:rPr>
        <w:t>4.</w:t>
      </w:r>
      <w:r>
        <w:rPr>
          <w:sz w:val="24"/>
        </w:rPr>
        <w:t>货物在现场的保管由中标人负责，直至项目安装、验收完毕。</w:t>
      </w:r>
    </w:p>
    <w:p>
      <w:pPr>
        <w:ind w:firstLine="480"/>
        <w:jc w:val="both"/>
      </w:pPr>
      <w:r>
        <w:rPr>
          <w:sz w:val="24"/>
        </w:rPr>
        <w:t>5.</w:t>
      </w:r>
      <w:r>
        <w:rPr>
          <w:sz w:val="24"/>
        </w:rPr>
        <w:t>货物在系统安装调试验收合格前的保险由乙方负责，乙方负责其派出的现场服务人员人身意外保险。</w:t>
      </w:r>
    </w:p>
    <w:p>
      <w:pPr>
        <w:ind w:firstLine="480"/>
        <w:jc w:val="both"/>
      </w:pPr>
      <w:r>
        <w:rPr>
          <w:sz w:val="24"/>
        </w:rPr>
        <w:t>6.</w:t>
      </w:r>
      <w:r>
        <w:rPr>
          <w:sz w:val="24"/>
        </w:rPr>
        <w:t>设备至甲方指定的使用现场的包装、保险及发运等环节和费用均由乙方负责。</w:t>
      </w:r>
    </w:p>
    <w:p>
      <w:pPr>
        <w:jc w:val="both"/>
      </w:pPr>
      <w:r>
        <w:rPr>
          <w:b/>
          <w:sz w:val="27"/>
        </w:rPr>
        <w:t>五、交货期、交货方式及交货地点</w:t>
      </w:r>
    </w:p>
    <w:p>
      <w:pPr>
        <w:ind w:firstLine="480"/>
        <w:jc w:val="both"/>
      </w:pPr>
      <w:r>
        <w:rPr>
          <w:sz w:val="24"/>
        </w:rPr>
        <w:t>1.</w:t>
      </w:r>
      <w:r>
        <w:rPr>
          <w:sz w:val="24"/>
        </w:rPr>
        <w:t>交货期：合同签订后</w:t>
      </w:r>
      <w:r>
        <w:rPr>
          <w:sz w:val="24"/>
          <w:u w:val="single"/>
        </w:rPr>
        <w:t xml:space="preserve">60 </w:t>
      </w:r>
      <w:r>
        <w:rPr>
          <w:sz w:val="24"/>
        </w:rPr>
        <w:t>个自然日内（完成供货、安装、调试和验收工作）。</w:t>
      </w:r>
    </w:p>
    <w:p>
      <w:pPr>
        <w:ind w:firstLine="480"/>
        <w:jc w:val="both"/>
      </w:pPr>
      <w:r>
        <w:rPr>
          <w:sz w:val="24"/>
        </w:rPr>
        <w:t>2.</w:t>
      </w:r>
      <w:r>
        <w:rPr>
          <w:sz w:val="24"/>
        </w:rPr>
        <w:t>交货方式：送货上门。</w:t>
      </w:r>
    </w:p>
    <w:p>
      <w:pPr>
        <w:ind w:firstLine="480"/>
        <w:jc w:val="both"/>
      </w:pPr>
      <w:r>
        <w:rPr>
          <w:sz w:val="24"/>
        </w:rPr>
        <w:t>3.</w:t>
      </w:r>
      <w:r>
        <w:rPr>
          <w:sz w:val="24"/>
        </w:rPr>
        <w:t>交货地点：广州市公用事业技师学院指定地点。</w:t>
      </w:r>
    </w:p>
    <w:p>
      <w:pPr>
        <w:ind w:firstLine="480"/>
        <w:jc w:val="both"/>
      </w:pPr>
      <w:r>
        <w:rPr>
          <w:sz w:val="24"/>
        </w:rPr>
        <w:t>4.</w:t>
      </w:r>
      <w:r>
        <w:rPr>
          <w:sz w:val="24"/>
        </w:rPr>
        <w:t>乙方负责运输、安装及调试，乙方负责将货物交付至甲方指定收货地，运输、安装及调试途中的货物损毁灭失的风险 由乙方承担，运输、安装及调试途中相关保险由乙方负责购买，甲方或甲方指定收货人验收合格并签收后，如发生货物毁损的情形由甲方负责。乙方负责其派出的现场服务人员人身意外保险。</w:t>
      </w:r>
    </w:p>
    <w:p>
      <w:pPr>
        <w:jc w:val="both"/>
      </w:pPr>
      <w:r>
        <w:rPr>
          <w:b/>
          <w:sz w:val="27"/>
        </w:rPr>
        <w:t>六、付款方式</w:t>
      </w:r>
    </w:p>
    <w:p>
      <w:pPr>
        <w:ind w:firstLine="480"/>
        <w:jc w:val="both"/>
      </w:pPr>
      <w:r>
        <w:rPr>
          <w:sz w:val="24"/>
        </w:rPr>
        <w:t>1.</w:t>
      </w:r>
      <w:r>
        <w:rPr>
          <w:sz w:val="24"/>
        </w:rPr>
        <w:t>合同签订后收到乙方出具的合法有效发票5个工作日内甲方向乙方办理预付合同总价的</w:t>
      </w:r>
      <w:r>
        <w:rPr>
          <w:sz w:val="24"/>
          <w:u w:val="single"/>
        </w:rPr>
        <w:t>60%</w:t>
      </w:r>
      <w:r>
        <w:rPr>
          <w:sz w:val="24"/>
        </w:rPr>
        <w:t>的支付手续。</w:t>
      </w:r>
    </w:p>
    <w:p>
      <w:pPr>
        <w:ind w:firstLine="480"/>
        <w:jc w:val="both"/>
      </w:pPr>
      <w:r>
        <w:rPr>
          <w:sz w:val="24"/>
        </w:rPr>
        <w:t>2.</w:t>
      </w:r>
      <w:r>
        <w:rPr>
          <w:sz w:val="24"/>
        </w:rPr>
        <w:t>全部合同货物到达交货地点，并安装调试且甲方验收合格后，凭验收合格单或验收合格报告，甲方在收到有效发票后5个工作日内向乙方支付合同总价的</w:t>
      </w:r>
      <w:r>
        <w:rPr>
          <w:sz w:val="24"/>
          <w:u w:val="single"/>
        </w:rPr>
        <w:t>40</w:t>
      </w:r>
      <w:r>
        <w:rPr>
          <w:sz w:val="24"/>
        </w:rPr>
        <w:t>%。</w:t>
      </w:r>
    </w:p>
    <w:p>
      <w:pPr>
        <w:ind w:firstLine="480"/>
        <w:jc w:val="both"/>
      </w:pPr>
      <w:r>
        <w:rPr>
          <w:sz w:val="24"/>
        </w:rPr>
        <w:t>3.</w:t>
      </w:r>
      <w:r>
        <w:rPr>
          <w:sz w:val="24"/>
        </w:rPr>
        <w:t>乙方须在甲方每次办理付款手续前 5 个工作日内，向甲方提供有效发票，且收款方、出具发票方、合同乙方均必须与乙方名称一致，逾期未提供的，付款相应顺延。甲方支付以乙方无违约为前提，若乙方违约，甲方有权在应付款项中做相应扣除。因甲方使用的是财政资金，甲方在前款规定的付款时间为向政府采购支付部门提出办理财政支付申请手续的时间（不含政府财政支付部门审核的时间），在规定时间内提出支付申请手续后即视为甲方已经按期支付。</w:t>
      </w:r>
    </w:p>
    <w:p>
      <w:pPr>
        <w:jc w:val="both"/>
      </w:pPr>
      <w:r>
        <w:rPr>
          <w:b/>
          <w:sz w:val="27"/>
        </w:rPr>
        <w:t>七、安装与调试</w:t>
      </w:r>
    </w:p>
    <w:p>
      <w:pPr>
        <w:ind w:firstLine="480"/>
        <w:jc w:val="both"/>
      </w:pPr>
      <w:r>
        <w:rPr>
          <w:sz w:val="24"/>
        </w:rPr>
        <w:t>1.</w:t>
      </w:r>
      <w:r>
        <w:rPr>
          <w:sz w:val="24"/>
        </w:rPr>
        <w:t>乙方投标报价应包含合同项下设备的购置、运输、安装、调试、税金、培训、售后服务、以及招标文件中要求投标人提供的专项服务等一切费用。</w:t>
      </w:r>
    </w:p>
    <w:p>
      <w:pPr>
        <w:ind w:firstLine="480"/>
        <w:jc w:val="both"/>
      </w:pPr>
      <w:r>
        <w:rPr>
          <w:sz w:val="24"/>
        </w:rPr>
        <w:t>2.</w:t>
      </w:r>
      <w:r>
        <w:rPr>
          <w:sz w:val="24"/>
        </w:rPr>
        <w:t>乙方必须依照招标文件的要求和投标文件的承诺，将设备、系统安装并调试至正常运行的最佳状态。</w:t>
      </w:r>
    </w:p>
    <w:p>
      <w:pPr>
        <w:ind w:firstLine="480"/>
        <w:jc w:val="both"/>
      </w:pPr>
      <w:r>
        <w:rPr>
          <w:sz w:val="24"/>
        </w:rPr>
        <w:t>3.</w:t>
      </w:r>
      <w:r>
        <w:rPr>
          <w:sz w:val="24"/>
        </w:rPr>
        <w:t>乙方必须拟定项目进度安排计划，并按照进度安排计划派出适当的技术人员到安装现场负责安装和调试工作（费用包含在投标总价中，不另外收费）。在安装施工期间，严格遵守甲方的有关制度。安装施工期间需做到安全文明施工，不损坏甲方的设备设施，否则原价赔偿。</w:t>
      </w:r>
    </w:p>
    <w:p>
      <w:pPr>
        <w:ind w:firstLine="480"/>
        <w:jc w:val="both"/>
      </w:pPr>
      <w:r>
        <w:rPr>
          <w:sz w:val="24"/>
        </w:rPr>
        <w:t>4.</w:t>
      </w:r>
      <w:r>
        <w:rPr>
          <w:sz w:val="24"/>
        </w:rPr>
        <w:t>所有设备均应按出厂标准及国家有关要求进行包装及运输，送货至甲方指定的交货地点，由乙方负责派人负责设备的现场安装和调试。所有货物需按甲方指定格式和定制内容设置不锈钢资产铭牌。在设备的安装、调试、试运行期间，乙方安装调试人员一切费用自理。</w:t>
      </w:r>
    </w:p>
    <w:p>
      <w:pPr>
        <w:jc w:val="both"/>
      </w:pPr>
      <w:r>
        <w:rPr>
          <w:b/>
          <w:sz w:val="27"/>
        </w:rPr>
        <w:t>八、验收</w:t>
      </w:r>
    </w:p>
    <w:p>
      <w:pPr>
        <w:ind w:firstLine="480"/>
        <w:jc w:val="both"/>
      </w:pPr>
      <w:r>
        <w:rPr>
          <w:sz w:val="24"/>
        </w:rPr>
        <w:t>1.</w:t>
      </w:r>
      <w:r>
        <w:rPr>
          <w:sz w:val="24"/>
        </w:rPr>
        <w:t>由甲方组织成立验收小组，验收按国家有关的规定、规范进行，必要时邀请相关的专业人员或机构参与验收。验收时如发现所交付的设备有短装、次品、损坏或其它不符合本合同规定的情况，甲方应做出详尽的现场记录，或由甲方和乙方双方签署备忘录。此现场记录或备忘录可用作补充、缺失和更换损坏部件的有效证据。由此产生的有关费用由乙方承担。</w:t>
      </w:r>
    </w:p>
    <w:p>
      <w:pPr>
        <w:ind w:firstLine="480"/>
        <w:jc w:val="both"/>
      </w:pPr>
      <w:r>
        <w:rPr>
          <w:sz w:val="24"/>
        </w:rPr>
        <w:t>2.</w:t>
      </w:r>
      <w:r>
        <w:rPr>
          <w:sz w:val="24"/>
        </w:rPr>
        <w:t>货物若有国家标准按照国家标准验收，若无国家标准按行业标准验收，须为原制造商制造的全新产品，满足招标文件里规定参数及性能需求，整机无污染，无侵权行为、表面无划损、无任何缺陷隐患，在中国境内可依常规安全合法使用。</w:t>
      </w:r>
    </w:p>
    <w:p>
      <w:pPr>
        <w:ind w:firstLine="480"/>
        <w:jc w:val="both"/>
      </w:pPr>
      <w:r>
        <w:rPr>
          <w:sz w:val="24"/>
        </w:rPr>
        <w:t>3.</w:t>
      </w:r>
      <w:r>
        <w:rPr>
          <w:sz w:val="24"/>
        </w:rPr>
        <w:t>如果合同设备运输和安装调试过程中因事故造成货物短缺、损坏，乙方应及时安排换货，以保证合同设备安装调试的成功完成。换货的相关费用由乙方承担。</w:t>
      </w:r>
    </w:p>
    <w:p>
      <w:pPr>
        <w:ind w:firstLine="480"/>
        <w:jc w:val="both"/>
      </w:pPr>
      <w:r>
        <w:rPr>
          <w:sz w:val="24"/>
        </w:rPr>
        <w:t>4.</w:t>
      </w:r>
      <w:r>
        <w:rPr>
          <w:sz w:val="24"/>
        </w:rPr>
        <w:t>货物为原厂商未启封全新包装，具出厂合格证，序列号、包装箱号与出厂批号一致，并可追索查阅。所有随设备的附件必须齐全。</w:t>
      </w:r>
    </w:p>
    <w:p>
      <w:pPr>
        <w:ind w:firstLine="480"/>
        <w:jc w:val="both"/>
      </w:pPr>
      <w:r>
        <w:rPr>
          <w:sz w:val="24"/>
        </w:rPr>
        <w:t>5.</w:t>
      </w:r>
      <w:r>
        <w:rPr>
          <w:sz w:val="24"/>
        </w:rPr>
        <w:t>乙方应将关键主机设备的用户手册、保修手册、有关单证资料及配备件、随机工具等交付给甲方，使用操作及安全须知等重要资料应附有中文说明。</w:t>
      </w:r>
    </w:p>
    <w:p>
      <w:pPr>
        <w:jc w:val="both"/>
      </w:pPr>
      <w:r>
        <w:rPr>
          <w:sz w:val="24"/>
        </w:rPr>
        <w:t>6.</w:t>
      </w:r>
      <w:r>
        <w:rPr>
          <w:sz w:val="24"/>
        </w:rPr>
        <w:t>乙方在项目安装调试完成后向甲方提出验收申请，甲方在7日内组织履约验收。</w:t>
      </w:r>
    </w:p>
    <w:p>
      <w:pPr>
        <w:jc w:val="both"/>
      </w:pPr>
      <w:r>
        <w:rPr>
          <w:b/>
          <w:sz w:val="27"/>
        </w:rPr>
        <w:t>九、售后服务</w:t>
      </w:r>
    </w:p>
    <w:p>
      <w:pPr>
        <w:ind w:firstLine="480"/>
        <w:jc w:val="both"/>
      </w:pPr>
      <w:r>
        <w:rPr>
          <w:sz w:val="24"/>
        </w:rPr>
        <w:t>1.</w:t>
      </w:r>
      <w:r>
        <w:rPr>
          <w:sz w:val="24"/>
        </w:rPr>
        <w:t>质保期期限（简称“质保期”）为本项目有关部门验收合格签字之日起，本项目质保期为 3 年。质保期内乙方必须负责维修及更换配件，费用包含在投标总价中，不另外收费；质量保证期结束后，只收取相应的零件成本费用。</w:t>
      </w:r>
    </w:p>
    <w:p>
      <w:pPr>
        <w:ind w:firstLine="384"/>
        <w:jc w:val="both"/>
      </w:pPr>
      <w:r>
        <w:rPr>
          <w:sz w:val="24"/>
        </w:rPr>
        <w:t>2.</w:t>
      </w:r>
      <w:r>
        <w:rPr>
          <w:sz w:val="24"/>
        </w:rPr>
        <w:t>质保期内，如设备或零部件因非人为因素出现故障而造成短期停用时，则质保期相应顺延。如停用时间累计超过 60 天则质保期重新计算。</w:t>
      </w:r>
    </w:p>
    <w:p>
      <w:pPr>
        <w:ind w:firstLine="384"/>
        <w:jc w:val="both"/>
      </w:pPr>
      <w:r>
        <w:rPr>
          <w:sz w:val="24"/>
        </w:rPr>
        <w:t>3.</w:t>
      </w:r>
      <w:r>
        <w:rPr>
          <w:sz w:val="24"/>
        </w:rPr>
        <w:t>质保期内对甲方的服务通知，乙方在接报后 2 小时内响应， 6 小时内派技术人员到达现场， 48 小时内完成故障检测与排除。若在 48 小时内仍未能有效解决，乙方须免费提供同档次的设备予甲方临时使用，由此产生的费用由乙方承担。</w:t>
      </w:r>
    </w:p>
    <w:p>
      <w:pPr>
        <w:ind w:firstLine="384"/>
        <w:jc w:val="both"/>
      </w:pPr>
      <w:r>
        <w:rPr>
          <w:sz w:val="24"/>
        </w:rPr>
        <w:t>4.</w:t>
      </w:r>
      <w:r>
        <w:rPr>
          <w:sz w:val="24"/>
        </w:rPr>
        <w:t>质保期内，非甲方的人为原因而出现产品质量的，由乙方负责包修、包换或包退，并承担因此而产生的一切费用。</w:t>
      </w:r>
    </w:p>
    <w:p>
      <w:pPr>
        <w:ind w:firstLine="384"/>
        <w:jc w:val="both"/>
      </w:pPr>
      <w:r>
        <w:rPr>
          <w:sz w:val="24"/>
        </w:rPr>
        <w:t>5.</w:t>
      </w:r>
      <w:r>
        <w:rPr>
          <w:sz w:val="24"/>
        </w:rPr>
        <w:t>所有货物质保服务方式均为乙方上门服务，即由乙方派员到货物使用现场维修，由此产生的一切费用均由乙方承担。</w:t>
      </w:r>
    </w:p>
    <w:p>
      <w:pPr>
        <w:ind w:firstLine="480"/>
        <w:jc w:val="both"/>
      </w:pPr>
      <w:r>
        <w:rPr>
          <w:sz w:val="24"/>
        </w:rPr>
        <w:t>6.</w:t>
      </w:r>
      <w:r>
        <w:rPr>
          <w:sz w:val="24"/>
        </w:rPr>
        <w:t>因本项目涉及2024年二次搬迁，乙方需要派人负责设备的二次搬迁的现场安装、调试和试运行。在设备的安装、调试、试运行期间，中标人须负责一切相关费用，费用包含在投标总价中，不另外收费。。</w:t>
      </w:r>
    </w:p>
    <w:p>
      <w:pPr>
        <w:jc w:val="both"/>
      </w:pPr>
      <w:r>
        <w:rPr>
          <w:b/>
          <w:sz w:val="27"/>
        </w:rPr>
        <w:t>十、培训服务</w:t>
      </w:r>
    </w:p>
    <w:p>
      <w:pPr>
        <w:ind w:firstLine="480"/>
        <w:jc w:val="both"/>
      </w:pPr>
      <w:r>
        <w:rPr>
          <w:sz w:val="24"/>
        </w:rPr>
        <w:t>乙方须为甲方提供培训服务，费用包含在投标总价中，不另外收费，服务内容包括但不限于以下内容：</w:t>
      </w:r>
    </w:p>
    <w:p>
      <w:pPr>
        <w:ind w:firstLine="480"/>
        <w:jc w:val="both"/>
      </w:pPr>
      <w:r>
        <w:rPr>
          <w:sz w:val="24"/>
        </w:rPr>
        <w:t>1.</w:t>
      </w:r>
      <w:r>
        <w:rPr>
          <w:sz w:val="24"/>
        </w:rPr>
        <w:t>培训内容：乙方为甲方提供操作及维护培训，主要内容为设备的基本结构、性能、主要部件的构造及原理，日常使用操作、保养与管理，常见故障的排除，紧急情况的处理等。</w:t>
      </w:r>
    </w:p>
    <w:p>
      <w:pPr>
        <w:ind w:firstLine="480"/>
        <w:jc w:val="both"/>
      </w:pPr>
      <w:r>
        <w:rPr>
          <w:sz w:val="24"/>
        </w:rPr>
        <w:t>2.</w:t>
      </w:r>
      <w:r>
        <w:rPr>
          <w:sz w:val="24"/>
        </w:rPr>
        <w:t>培训要求</w:t>
      </w:r>
    </w:p>
    <w:p>
      <w:pPr>
        <w:ind w:firstLine="240"/>
        <w:jc w:val="both"/>
      </w:pPr>
      <w:r>
        <w:rPr>
          <w:sz w:val="24"/>
        </w:rPr>
        <w:t>（1）现场培训：乙方在设备的安装、调试、验收完毕后即进行现场培训直至甲方基本掌握运行操作、维修保养技术。</w:t>
      </w:r>
    </w:p>
    <w:p>
      <w:pPr>
        <w:ind w:firstLine="240"/>
        <w:jc w:val="both"/>
      </w:pPr>
      <w:r>
        <w:rPr>
          <w:sz w:val="24"/>
        </w:rPr>
        <w:t>（2）专门设备方面的培训：乙方应就设备的安装、检验、调试、使用和维护等，为甲方培训</w:t>
      </w:r>
      <w:r>
        <w:rPr>
          <w:sz w:val="24"/>
          <w:u w:val="single"/>
        </w:rPr>
        <w:t>5</w:t>
      </w:r>
      <w:r>
        <w:rPr>
          <w:sz w:val="24"/>
        </w:rPr>
        <w:t>名人员，直到甲方受训人员全部掌握运行操作、维修保养技术，并能达到正确检修、维护、排除一般故障为止。甲方受训人员的培训费用由乙方承担。</w:t>
      </w:r>
    </w:p>
    <w:p>
      <w:pPr>
        <w:ind w:firstLine="240"/>
        <w:jc w:val="both"/>
      </w:pPr>
      <w:r>
        <w:rPr>
          <w:sz w:val="24"/>
        </w:rPr>
        <w:t>（3）培训方式：技术培训、操作培训。</w:t>
      </w:r>
    </w:p>
    <w:p>
      <w:pPr>
        <w:ind w:firstLine="240"/>
        <w:jc w:val="both"/>
      </w:pPr>
      <w:r>
        <w:rPr>
          <w:sz w:val="24"/>
        </w:rPr>
        <w:t>（4）培训地点、培训时间与受训人员：由甲方确定受训人员，甲方、乙方双方商定时间和地点。</w:t>
      </w:r>
    </w:p>
    <w:p>
      <w:pPr>
        <w:ind w:firstLine="240"/>
        <w:jc w:val="both"/>
      </w:pPr>
      <w:r>
        <w:rPr>
          <w:sz w:val="24"/>
        </w:rPr>
        <w:t>（5）乙方需要为甲方提供与本项目配套的培训（包含在报价总价内，不另收费），内容包括设备使用技术培训服务至少2批（每批不少于5人），每批次培训时长不少于3天。</w:t>
      </w:r>
    </w:p>
    <w:p>
      <w:pPr>
        <w:ind w:firstLine="240"/>
        <w:jc w:val="both"/>
      </w:pPr>
      <w:r>
        <w:rPr>
          <w:sz w:val="24"/>
        </w:rPr>
        <w:t>（6）培训授课人必须是经过厂家认证工程师、技术员等，授课人要具备相应设备所对应工种的技能等级证书。</w:t>
      </w:r>
    </w:p>
    <w:p>
      <w:pPr>
        <w:ind w:firstLine="240"/>
        <w:jc w:val="both"/>
      </w:pPr>
      <w:r>
        <w:rPr>
          <w:sz w:val="24"/>
        </w:rPr>
        <w:t>（7）乙方必须为所有被培训人员提供培训用文字资料等相关用品。</w:t>
      </w:r>
    </w:p>
    <w:p>
      <w:pPr>
        <w:ind w:firstLine="240"/>
        <w:jc w:val="both"/>
      </w:pPr>
      <w:r>
        <w:rPr>
          <w:sz w:val="24"/>
        </w:rPr>
        <w:t>（8）培训内容与课程要求：培训人员必须要熟悉培训的设备，以使用户对所采购的设备能有更进一步的了解和熟练的使用。</w:t>
      </w:r>
    </w:p>
    <w:p>
      <w:pPr>
        <w:ind w:firstLine="480"/>
        <w:jc w:val="both"/>
      </w:pPr>
      <w:r>
        <w:rPr>
          <w:sz w:val="24"/>
        </w:rPr>
        <w:t>3.</w:t>
      </w:r>
      <w:r>
        <w:rPr>
          <w:sz w:val="24"/>
        </w:rPr>
        <w:t>培训地点：主要在设备安装现场或按双方协商安排。</w:t>
      </w:r>
    </w:p>
    <w:p>
      <w:pPr>
        <w:jc w:val="both"/>
      </w:pPr>
      <w:r>
        <w:rPr>
          <w:b/>
          <w:sz w:val="27"/>
        </w:rPr>
        <w:t>十一、违约责任与赔偿损失</w:t>
      </w:r>
    </w:p>
    <w:p>
      <w:pPr>
        <w:ind w:firstLine="480"/>
        <w:jc w:val="both"/>
      </w:pPr>
      <w:r>
        <w:rPr>
          <w:sz w:val="24"/>
        </w:rPr>
        <w:t>1.</w:t>
      </w:r>
      <w:r>
        <w:rPr>
          <w:sz w:val="24"/>
        </w:rPr>
        <w:t>乙方交付的货物、工程/提供的服务不符合本合同规定的，甲方有权拒收，并且乙方须向甲方支付本合同总价20%的违约金。</w:t>
      </w:r>
    </w:p>
    <w:p>
      <w:pPr>
        <w:ind w:firstLine="480"/>
        <w:jc w:val="both"/>
      </w:pPr>
      <w:r>
        <w:rPr>
          <w:sz w:val="24"/>
        </w:rPr>
        <w:t>2.</w:t>
      </w:r>
      <w:r>
        <w:rPr>
          <w:sz w:val="24"/>
        </w:rPr>
        <w:t>乙方未能按本合同规定的交货时间交付货物的/提供服务，从逾期之日起每日按本合同总价</w:t>
      </w:r>
      <w:r>
        <w:rPr>
          <w:color w:val="FF0000"/>
          <w:sz w:val="24"/>
        </w:rPr>
        <w:t>万分之三</w:t>
      </w:r>
      <w:r>
        <w:rPr>
          <w:sz w:val="24"/>
        </w:rPr>
        <w:t>的数额向甲方支付违约金，违约金累计总额不超过合同总价的的20%；逾期10天以上（含10天）的，甲方有权终止合同，乙方须向甲方支付本合同总价20%的违约金，由此造成的甲方经济损失由乙方承担。</w:t>
      </w:r>
    </w:p>
    <w:p>
      <w:pPr>
        <w:ind w:firstLine="480"/>
        <w:jc w:val="both"/>
      </w:pPr>
      <w:r>
        <w:rPr>
          <w:sz w:val="24"/>
        </w:rPr>
        <w:t>3.</w:t>
      </w:r>
      <w:r>
        <w:rPr>
          <w:sz w:val="24"/>
        </w:rPr>
        <w:t>在乙方不存在违约的前提下，甲方无正当理由拒收货物/接受服务，甲方向乙方偿付本合同总的20%的违约金。甲方逾期付款，则每日按本合同总价的</w:t>
      </w:r>
      <w:r>
        <w:rPr>
          <w:color w:val="FF0000"/>
          <w:sz w:val="24"/>
        </w:rPr>
        <w:t>万分之三</w:t>
      </w:r>
      <w:r>
        <w:rPr>
          <w:sz w:val="24"/>
        </w:rPr>
        <w:t>向乙方偿付违约金，违约金累计总额不超过欠款总价的20%。</w:t>
      </w:r>
    </w:p>
    <w:p>
      <w:pPr>
        <w:ind w:firstLine="480"/>
        <w:jc w:val="both"/>
      </w:pPr>
      <w:r>
        <w:rPr>
          <w:sz w:val="24"/>
        </w:rPr>
        <w:t>4.</w:t>
      </w:r>
      <w:r>
        <w:rPr>
          <w:sz w:val="24"/>
        </w:rPr>
        <w:t>其它违约责任按《中华人民共和国民法典》处理。</w:t>
      </w:r>
    </w:p>
    <w:p>
      <w:pPr>
        <w:jc w:val="both"/>
      </w:pPr>
      <w:r>
        <w:rPr>
          <w:b/>
          <w:sz w:val="27"/>
        </w:rPr>
        <w:t>十二、争议的解决</w:t>
      </w:r>
    </w:p>
    <w:p>
      <w:pPr>
        <w:ind w:firstLine="480"/>
        <w:jc w:val="both"/>
      </w:pPr>
      <w:r>
        <w:rPr>
          <w:sz w:val="24"/>
        </w:rPr>
        <w:t>合同执行过程中发生的任何争议，如双方不能通过友好协商解决，双方一致同意提交广州仲裁委员会仲裁解决。</w:t>
      </w:r>
    </w:p>
    <w:p>
      <w:pPr>
        <w:jc w:val="both"/>
      </w:pPr>
      <w:r>
        <w:rPr>
          <w:b/>
          <w:sz w:val="27"/>
        </w:rPr>
        <w:t>十三、不可抗力</w:t>
      </w:r>
    </w:p>
    <w:p>
      <w:pPr>
        <w:ind w:firstLine="480"/>
        <w:jc w:val="both"/>
      </w:pPr>
      <w:r>
        <w:rPr>
          <w:sz w:val="24"/>
        </w:rPr>
        <w:t>任何一方由于不可抗力原因不能履行合同时，应在不可抗力事件结束后1日内向对方通报，以减轻可能给对方造成的损失，在取得有关机构的不可抗力证明或双方谅解确认后，允许延期履行或修订合同，并根据情况可部分或全部免于承担违约责任。</w:t>
      </w:r>
    </w:p>
    <w:p>
      <w:pPr>
        <w:jc w:val="both"/>
      </w:pPr>
      <w:r>
        <w:rPr>
          <w:b/>
          <w:sz w:val="27"/>
        </w:rPr>
        <w:t>十四、税费</w:t>
      </w:r>
    </w:p>
    <w:p>
      <w:pPr>
        <w:jc w:val="both"/>
      </w:pPr>
      <w:r>
        <w:rPr>
          <w:sz w:val="24"/>
        </w:rPr>
        <w:t>在中国境内、外发生的与本合同执行有关的一切税费均由乙方负担。</w:t>
      </w:r>
    </w:p>
    <w:p>
      <w:pPr>
        <w:jc w:val="both"/>
      </w:pPr>
      <w:r>
        <w:rPr>
          <w:b/>
          <w:sz w:val="27"/>
        </w:rPr>
        <w:t>十五、其它</w:t>
      </w:r>
    </w:p>
    <w:p>
      <w:pPr>
        <w:ind w:firstLine="480"/>
        <w:jc w:val="both"/>
      </w:pPr>
      <w:r>
        <w:rPr>
          <w:sz w:val="24"/>
        </w:rPr>
        <w:t>1.</w:t>
      </w:r>
      <w:r>
        <w:rPr>
          <w:sz w:val="24"/>
        </w:rPr>
        <w:t>本合同为中小企业预留合同。</w:t>
      </w:r>
    </w:p>
    <w:p>
      <w:pPr>
        <w:ind w:firstLine="480"/>
        <w:jc w:val="both"/>
      </w:pPr>
      <w:r>
        <w:rPr>
          <w:sz w:val="24"/>
        </w:rPr>
        <w:t>2.</w:t>
      </w:r>
      <w:r>
        <w:rPr>
          <w:sz w:val="24"/>
        </w:rPr>
        <w:t>本合同所有附件、招标文件、投标文件、中标通知书均为合同的有效组成部分，与本合同具有同等法律效力。</w:t>
      </w:r>
    </w:p>
    <w:p>
      <w:pPr>
        <w:ind w:firstLine="480"/>
        <w:jc w:val="both"/>
      </w:pPr>
      <w:r>
        <w:rPr>
          <w:sz w:val="24"/>
        </w:rPr>
        <w:t>3.</w:t>
      </w:r>
      <w:r>
        <w:rPr>
          <w:sz w:val="24"/>
        </w:rPr>
        <w:t>在执行本合同的过程中，所有经双方签署确认的文件（包括会议纪要、补充协议、往来信函）为本合同的有效组成部分。</w:t>
      </w:r>
    </w:p>
    <w:p>
      <w:pPr>
        <w:ind w:firstLine="480"/>
        <w:jc w:val="both"/>
      </w:pPr>
      <w:r>
        <w:rPr>
          <w:sz w:val="24"/>
        </w:rPr>
        <w:t>4.</w:t>
      </w:r>
      <w:r>
        <w:rPr>
          <w:sz w:val="24"/>
        </w:rPr>
        <w:t>如一方地址、电话、传真号码有变更，应在变更当日内书面通知对方，否则，应承担相应责任。</w:t>
      </w:r>
    </w:p>
    <w:p>
      <w:pPr>
        <w:ind w:firstLine="480"/>
        <w:jc w:val="both"/>
      </w:pPr>
      <w:r>
        <w:rPr>
          <w:sz w:val="24"/>
        </w:rPr>
        <w:t>5.</w:t>
      </w:r>
      <w:r>
        <w:rPr>
          <w:sz w:val="24"/>
        </w:rPr>
        <w:t>除甲方事先书面同意外，乙方不得部分或全部转让其应履行的合同项下的义务。</w:t>
      </w:r>
    </w:p>
    <w:p>
      <w:pPr>
        <w:ind w:firstLine="480"/>
        <w:jc w:val="both"/>
      </w:pPr>
      <w:r>
        <w:rPr>
          <w:sz w:val="24"/>
        </w:rPr>
        <w:t>6.</w:t>
      </w:r>
      <w:r>
        <w:rPr>
          <w:sz w:val="24"/>
        </w:rPr>
        <w:t>甲乙双方承诺：甲乙双方及各自工作人员应当通过正常途径开展相关业务工作，忠实履行本合同赋予的职责，不得谋 取不正当利益，以任何方式向对方及其工作人员或其他相关人员提供、给予本合同约定外的任何利益，包括但不限于明扣、暗扣、现金、购物卡、实物、有价证券、旅游或其他非物质性利益等，任何一方违反本条约定，守约方有权要求解除本合同，并要求违约方赔偿损失。</w:t>
      </w:r>
    </w:p>
    <w:p>
      <w:pPr>
        <w:ind w:firstLine="480"/>
        <w:jc w:val="both"/>
      </w:pPr>
      <w:r>
        <w:rPr>
          <w:sz w:val="24"/>
        </w:rPr>
        <w:t>7.</w:t>
      </w:r>
      <w:r>
        <w:rPr>
          <w:sz w:val="24"/>
        </w:rPr>
        <w:t>甲乙双方保证对在讨论、签订、执行本协议过程中所获悉的所涉个人信息、属于对方的且无法自公开渠道获得的文件及资料予以保密。未经一方同意，另一方不得向第三方泄露该秘密的全部或部分内容。</w:t>
      </w:r>
    </w:p>
    <w:p>
      <w:pPr>
        <w:jc w:val="both"/>
      </w:pPr>
      <w:r>
        <w:rPr>
          <w:b/>
          <w:sz w:val="27"/>
        </w:rPr>
        <w:t>十六、合同生效</w:t>
      </w:r>
    </w:p>
    <w:p>
      <w:pPr>
        <w:ind w:firstLine="480"/>
        <w:jc w:val="both"/>
      </w:pPr>
      <w:r>
        <w:rPr>
          <w:sz w:val="24"/>
        </w:rPr>
        <w:t>1.</w:t>
      </w:r>
      <w:r>
        <w:rPr>
          <w:sz w:val="24"/>
        </w:rPr>
        <w:t>本合同在甲乙双方法人代表或其授权代表签字并盖章后生效。</w:t>
      </w:r>
    </w:p>
    <w:p>
      <w:pPr>
        <w:ind w:firstLine="480"/>
        <w:jc w:val="both"/>
      </w:pPr>
      <w:r>
        <w:rPr>
          <w:sz w:val="24"/>
        </w:rPr>
        <w:t>2.</w:t>
      </w:r>
      <w:r>
        <w:rPr>
          <w:sz w:val="24"/>
        </w:rPr>
        <w:t>合同一式</w:t>
      </w:r>
      <w:r>
        <w:rPr>
          <w:sz w:val="24"/>
          <w:u w:val="single"/>
        </w:rPr>
        <w:t>陆</w:t>
      </w:r>
      <w:r>
        <w:rPr>
          <w:sz w:val="24"/>
        </w:rPr>
        <w:t>份，具有同等效力，甲方</w:t>
      </w:r>
      <w:r>
        <w:rPr>
          <w:sz w:val="24"/>
          <w:u w:val="single"/>
        </w:rPr>
        <w:t>肆</w:t>
      </w:r>
      <w:r>
        <w:rPr>
          <w:sz w:val="24"/>
        </w:rPr>
        <w:t>份，乙方</w:t>
      </w:r>
      <w:r>
        <w:rPr>
          <w:sz w:val="24"/>
          <w:u w:val="single"/>
        </w:rPr>
        <w:t>壹</w:t>
      </w:r>
      <w:r>
        <w:rPr>
          <w:sz w:val="24"/>
        </w:rPr>
        <w:t>份，甲方同级政府采购监督管理部门</w:t>
      </w:r>
      <w:r>
        <w:rPr>
          <w:sz w:val="24"/>
          <w:u w:val="single"/>
        </w:rPr>
        <w:t>壹</w:t>
      </w:r>
      <w:r>
        <w:rPr>
          <w:sz w:val="24"/>
        </w:rPr>
        <w:t>份。</w:t>
      </w:r>
    </w:p>
    <w:p>
      <w:r>
        <w:rPr/>
        <w:t xml:space="preserve"> </w:t>
      </w:r>
    </w:p>
    <w:tbl>
      <w:tblPr>
        <w:tblW w:w="0" w:type="auto"/>
        <w:tblBorders>
          <w:top w:val="none" w:color="000000" w:sz="4"/>
          <w:left w:val="none" w:color="000000" w:sz="4"/>
          <w:bottom w:val="none" w:color="000000" w:sz="4"/>
          <w:right w:val="none" w:color="000000" w:sz="4"/>
          <w:insideH w:val="none"/>
          <w:insideV w:val="none"/>
        </w:tblBorders>
      </w:tblPr>
      <w:tblGrid>
        <w:gridCol w:w="4153"/>
        <w:gridCol w:w="4153"/>
      </w:tblGrid>
      <w:tr>
        <w:tc>
          <w:tcPr>
            <w:tcW w:type="dxa" w:w="4153"/>
            <w:tcBorders>
              <w:top w:val="none" w:color="000000" w:sz="4"/>
              <w:left w:val="none" w:color="000000" w:sz="4"/>
              <w:bottom w:val="none" w:color="000000" w:sz="4"/>
              <w:right w:val="none" w:color="000000" w:sz="4"/>
            </w:tcBorders>
            <w:vAlign w:val="top"/>
          </w:tcPr>
          <w:p>
            <w:pPr>
              <w:jc w:val="both"/>
            </w:pPr>
            <w:r>
              <w:rPr>
                <w:sz w:val="24"/>
              </w:rPr>
              <w:t>甲方（盖章）：</w:t>
            </w:r>
          </w:p>
        </w:tc>
        <w:tc>
          <w:tcPr>
            <w:tcW w:type="dxa" w:w="4153"/>
            <w:tcBorders>
              <w:top w:val="none" w:color="000000" w:sz="4"/>
              <w:left w:val="none" w:color="000000" w:sz="4"/>
              <w:bottom w:val="none" w:color="000000" w:sz="4"/>
              <w:right w:val="none" w:color="000000" w:sz="4"/>
            </w:tcBorders>
            <w:vAlign w:val="top"/>
          </w:tcPr>
          <w:p>
            <w:pPr>
              <w:jc w:val="both"/>
            </w:pPr>
            <w:r>
              <w:rPr>
                <w:sz w:val="24"/>
              </w:rPr>
              <w:t>乙方（盖章）：</w:t>
            </w:r>
          </w:p>
        </w:tc>
      </w:tr>
      <w:tr>
        <w:tc>
          <w:tcPr>
            <w:tcW w:type="dxa" w:w="4153"/>
            <w:tcBorders>
              <w:top w:val="none" w:color="000000" w:sz="4"/>
              <w:left w:val="none" w:color="000000" w:sz="4"/>
              <w:bottom w:val="none" w:color="000000" w:sz="4"/>
              <w:right w:val="none" w:color="000000" w:sz="4"/>
            </w:tcBorders>
            <w:vAlign w:val="top"/>
          </w:tcPr>
          <w:p>
            <w:pPr>
              <w:jc w:val="both"/>
            </w:pPr>
            <w:r>
              <w:rPr>
                <w:sz w:val="24"/>
              </w:rPr>
              <w:t>代表：</w:t>
            </w:r>
          </w:p>
        </w:tc>
        <w:tc>
          <w:tcPr>
            <w:tcW w:type="dxa" w:w="4153"/>
            <w:tcBorders>
              <w:top w:val="none" w:color="000000" w:sz="4"/>
              <w:left w:val="none" w:color="000000" w:sz="4"/>
              <w:bottom w:val="none" w:color="000000" w:sz="4"/>
              <w:right w:val="none" w:color="000000" w:sz="4"/>
            </w:tcBorders>
            <w:vAlign w:val="top"/>
          </w:tcPr>
          <w:p>
            <w:pPr>
              <w:jc w:val="both"/>
            </w:pPr>
            <w:r>
              <w:rPr>
                <w:sz w:val="24"/>
              </w:rPr>
              <w:t>代表：</w:t>
            </w:r>
          </w:p>
        </w:tc>
      </w:tr>
      <w:tr>
        <w:tc>
          <w:tcPr>
            <w:tcW w:type="dxa" w:w="4153"/>
            <w:tcBorders>
              <w:top w:val="none" w:color="000000" w:sz="4"/>
              <w:left w:val="none" w:color="000000" w:sz="4"/>
              <w:bottom w:val="none" w:color="000000" w:sz="4"/>
              <w:right w:val="none" w:color="000000" w:sz="4"/>
            </w:tcBorders>
            <w:vAlign w:val="top"/>
          </w:tcPr>
          <w:p>
            <w:pPr>
              <w:jc w:val="both"/>
            </w:pPr>
          </w:p>
        </w:tc>
        <w:tc>
          <w:tcPr>
            <w:tcW w:type="dxa" w:w="4153"/>
            <w:tcBorders>
              <w:top w:val="none" w:color="000000" w:sz="4"/>
              <w:left w:val="none" w:color="000000" w:sz="4"/>
              <w:bottom w:val="none" w:color="000000" w:sz="4"/>
              <w:right w:val="none" w:color="000000" w:sz="4"/>
            </w:tcBorders>
            <w:vAlign w:val="top"/>
          </w:tcPr>
          <w:p>
            <w:pPr>
              <w:jc w:val="both"/>
            </w:pPr>
          </w:p>
        </w:tc>
      </w:tr>
      <w:tr>
        <w:tc>
          <w:tcPr>
            <w:tcW w:type="dxa" w:w="4153"/>
            <w:tcBorders>
              <w:top w:val="none" w:color="000000" w:sz="4"/>
              <w:left w:val="none" w:color="000000" w:sz="4"/>
              <w:bottom w:val="none" w:color="000000" w:sz="4"/>
              <w:right w:val="none" w:color="000000" w:sz="4"/>
            </w:tcBorders>
            <w:vAlign w:val="top"/>
          </w:tcPr>
          <w:p>
            <w:pPr>
              <w:jc w:val="both"/>
            </w:pPr>
            <w:r>
              <w:rPr>
                <w:sz w:val="24"/>
              </w:rPr>
              <w:t>签定日期：</w:t>
            </w:r>
            <w:r>
              <w:rPr>
                <w:sz w:val="24"/>
              </w:rPr>
              <w:t>______</w:t>
            </w:r>
            <w:r>
              <w:rPr>
                <w:sz w:val="24"/>
              </w:rPr>
              <w:t>年</w:t>
            </w:r>
            <w:r>
              <w:rPr>
                <w:sz w:val="24"/>
              </w:rPr>
              <w:t>___</w:t>
            </w:r>
            <w:r>
              <w:rPr>
                <w:sz w:val="24"/>
              </w:rPr>
              <w:t>月</w:t>
            </w:r>
            <w:r>
              <w:rPr>
                <w:sz w:val="24"/>
              </w:rPr>
              <w:t>___</w:t>
            </w:r>
            <w:r>
              <w:rPr>
                <w:sz w:val="24"/>
              </w:rPr>
              <w:t>日</w:t>
            </w:r>
          </w:p>
        </w:tc>
        <w:tc>
          <w:tcPr>
            <w:tcW w:type="dxa" w:w="4153"/>
            <w:tcBorders>
              <w:top w:val="none" w:color="000000" w:sz="4"/>
              <w:left w:val="none" w:color="000000" w:sz="4"/>
              <w:bottom w:val="none" w:color="000000" w:sz="4"/>
              <w:right w:val="none" w:color="000000" w:sz="4"/>
            </w:tcBorders>
            <w:vAlign w:val="top"/>
          </w:tcPr>
          <w:p>
            <w:pPr>
              <w:jc w:val="both"/>
            </w:pPr>
            <w:r>
              <w:rPr>
                <w:sz w:val="24"/>
              </w:rPr>
              <w:t>签订日期：</w:t>
            </w:r>
            <w:r>
              <w:rPr>
                <w:sz w:val="24"/>
              </w:rPr>
              <w:t>______</w:t>
            </w:r>
            <w:r>
              <w:rPr>
                <w:sz w:val="24"/>
              </w:rPr>
              <w:t>年</w:t>
            </w:r>
            <w:r>
              <w:rPr>
                <w:sz w:val="24"/>
              </w:rPr>
              <w:t>___</w:t>
            </w:r>
            <w:r>
              <w:rPr>
                <w:sz w:val="24"/>
              </w:rPr>
              <w:t>月</w:t>
            </w:r>
            <w:r>
              <w:rPr>
                <w:sz w:val="24"/>
              </w:rPr>
              <w:t>___</w:t>
            </w:r>
            <w:r>
              <w:rPr>
                <w:sz w:val="24"/>
              </w:rPr>
              <w:t>日</w:t>
            </w:r>
          </w:p>
        </w:tc>
      </w:tr>
      <w:tr>
        <w:tc>
          <w:tcPr>
            <w:tcW w:type="dxa" w:w="4153"/>
            <w:tcBorders>
              <w:top w:val="none" w:color="000000" w:sz="4"/>
              <w:left w:val="none" w:color="000000" w:sz="4"/>
              <w:bottom w:val="none" w:color="000000" w:sz="4"/>
              <w:right w:val="none" w:color="000000" w:sz="4"/>
            </w:tcBorders>
            <w:vAlign w:val="top"/>
          </w:tcPr>
          <w:p>
            <w:pPr>
              <w:jc w:val="both"/>
            </w:pPr>
          </w:p>
        </w:tc>
        <w:tc>
          <w:tcPr>
            <w:tcW w:type="dxa" w:w="4153"/>
            <w:tcBorders>
              <w:top w:val="none" w:color="000000" w:sz="4"/>
              <w:left w:val="none" w:color="000000" w:sz="4"/>
              <w:bottom w:val="none" w:color="000000" w:sz="4"/>
              <w:right w:val="none" w:color="000000" w:sz="4"/>
            </w:tcBorders>
            <w:vAlign w:val="top"/>
          </w:tcPr>
          <w:p>
            <w:pPr>
              <w:jc w:val="both"/>
            </w:pPr>
            <w:r>
              <w:rPr>
                <w:sz w:val="24"/>
              </w:rPr>
              <w:t>开户名称：</w:t>
            </w:r>
          </w:p>
        </w:tc>
      </w:tr>
      <w:tr>
        <w:tc>
          <w:tcPr>
            <w:tcW w:type="dxa" w:w="4153"/>
            <w:tcBorders>
              <w:top w:val="none" w:color="000000" w:sz="4"/>
              <w:left w:val="none" w:color="000000" w:sz="4"/>
              <w:bottom w:val="none" w:color="000000" w:sz="4"/>
              <w:right w:val="none" w:color="000000" w:sz="4"/>
            </w:tcBorders>
            <w:vAlign w:val="top"/>
          </w:tcPr>
          <w:p>
            <w:pPr>
              <w:jc w:val="both"/>
            </w:pPr>
          </w:p>
        </w:tc>
        <w:tc>
          <w:tcPr>
            <w:tcW w:type="dxa" w:w="4153"/>
            <w:tcBorders>
              <w:top w:val="none" w:color="000000" w:sz="4"/>
              <w:left w:val="none" w:color="000000" w:sz="4"/>
              <w:bottom w:val="none" w:color="000000" w:sz="4"/>
              <w:right w:val="none" w:color="000000" w:sz="4"/>
            </w:tcBorders>
            <w:vAlign w:val="top"/>
          </w:tcPr>
          <w:p>
            <w:pPr>
              <w:jc w:val="both"/>
            </w:pPr>
            <w:r>
              <w:rPr>
                <w:sz w:val="24"/>
              </w:rPr>
              <w:t>银行帐号：</w:t>
            </w:r>
          </w:p>
        </w:tc>
      </w:tr>
      <w:tr>
        <w:tc>
          <w:tcPr>
            <w:tcW w:type="dxa" w:w="4153"/>
            <w:tcBorders>
              <w:top w:val="none" w:color="000000" w:sz="4"/>
              <w:left w:val="none" w:color="000000" w:sz="4"/>
              <w:bottom w:val="none" w:color="000000" w:sz="4"/>
              <w:right w:val="none" w:color="000000" w:sz="4"/>
            </w:tcBorders>
            <w:vAlign w:val="top"/>
          </w:tcPr>
          <w:p>
            <w:pPr>
              <w:jc w:val="both"/>
            </w:pPr>
          </w:p>
        </w:tc>
        <w:tc>
          <w:tcPr>
            <w:tcW w:type="dxa" w:w="4153"/>
            <w:tcBorders>
              <w:top w:val="none" w:color="000000" w:sz="4"/>
              <w:left w:val="none" w:color="000000" w:sz="4"/>
              <w:bottom w:val="none" w:color="000000" w:sz="4"/>
              <w:right w:val="none" w:color="000000" w:sz="4"/>
            </w:tcBorders>
            <w:vAlign w:val="top"/>
          </w:tcPr>
          <w:p>
            <w:pPr>
              <w:jc w:val="both"/>
            </w:pPr>
            <w:r>
              <w:rPr>
                <w:sz w:val="24"/>
              </w:rPr>
              <w:t>开户行：</w:t>
            </w:r>
          </w:p>
        </w:tc>
      </w:tr>
    </w:tbl>
    <w:p/>
    <w:p>
      <w:pPr>
        <w:ind w:firstLine="480"/>
      </w:pPr>
    </w:p>
    <w:p>
      <w:r>
        <w:rPr/>
        <w:t xml:space="preserve"> </w:t>
      </w:r>
    </w:p>
    <w:p/>
    <w:p>
      <w:pPr>
        <w:jc w:val="center"/>
      </w:pPr>
      <w:r>
        <w:rPr>
          <w:b/>
          <w:sz w:val="36"/>
        </w:rPr>
        <w:t>第六章 投标文件格式与要求</w:t>
      </w:r>
    </w:p>
    <w:p>
      <w:pPr>
        <w:ind w:firstLine="480"/>
      </w:pPr>
      <w:r>
        <w:rPr/>
        <w:t>投标人应提交证明其有资格参加投标和中标后有能力履行合同的相关文件，并作为其投标文件的一部分，所有文件必须真实可靠、不得伪造，否则将按相关规定予以处罚。</w:t>
      </w:r>
    </w:p>
    <w:p>
      <w:pPr>
        <w:ind w:firstLine="480"/>
      </w:pPr>
    </w:p>
    <w:p>
      <w:r>
        <w:rPr/>
        <w:t xml:space="preserve"> </w:t>
      </w:r>
      <w:r>
        <w:br/>
      </w:r>
    </w:p>
    <w:p/>
    <w:p>
      <w:pPr>
        <w:jc w:val="center"/>
      </w:pPr>
      <w:r>
        <w:rPr>
          <w:b/>
          <w:sz w:val="48"/>
        </w:rPr>
        <w:t>投标文件封面</w:t>
      </w:r>
    </w:p>
    <w:p/>
    <w:p>
      <w:pPr>
        <w:jc w:val="center"/>
      </w:pPr>
      <w:r>
        <w:rPr>
          <w:b/>
          <w:sz w:val="48"/>
        </w:rPr>
        <w:t>（项目名称）</w:t>
      </w:r>
    </w:p>
    <w:p>
      <w:pPr>
        <w:jc w:val="center"/>
      </w:pPr>
      <w:r>
        <w:rPr>
          <w:b/>
          <w:sz w:val="48"/>
        </w:rPr>
        <w:t>投标文件封面</w:t>
      </w:r>
    </w:p>
    <w:p>
      <w:pPr>
        <w:jc w:val="center"/>
      </w:pPr>
      <w:r>
        <w:rPr>
          <w:b/>
          <w:sz w:val="48"/>
        </w:rPr>
        <w:t>（正本/副本）</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440101-2023-19121</w:t>
      </w:r>
    </w:p>
    <w:p>
      <w:pPr>
        <w:jc w:val="center"/>
      </w:pPr>
      <w:r>
        <w:rPr>
          <w:b/>
          <w:sz w:val="24"/>
        </w:rPr>
        <w:t>采购项目编号：</w:t>
      </w:r>
      <w:r>
        <w:rPr>
          <w:b/>
          <w:sz w:val="24"/>
        </w:rPr>
        <w:t>CZ2023-0968</w:t>
      </w:r>
    </w:p>
    <w:p>
      <w:pPr>
        <w:jc w:val="center"/>
      </w:pPr>
      <w:r>
        <w:rPr>
          <w:b/>
          <w:sz w:val="24"/>
        </w:rPr>
        <w:t>所投采购包：第 包</w:t>
      </w:r>
    </w:p>
    <w:p/>
    <w:p>
      <w:pPr>
        <w:jc w:val="center"/>
      </w:pPr>
      <w:r>
        <w:rPr>
          <w:b/>
          <w:sz w:val="24"/>
        </w:rPr>
        <w:t>（投标人名称）</w:t>
      </w:r>
    </w:p>
    <w:p>
      <w:pPr>
        <w:jc w:val="center"/>
      </w:pPr>
      <w:r>
        <w:rPr>
          <w:b/>
          <w:sz w:val="24"/>
        </w:rPr>
        <w:t>年 月 日</w:t>
      </w:r>
    </w:p>
    <w:p>
      <w:pPr>
        <w:ind w:firstLine="480"/>
      </w:pPr>
    </w:p>
    <w:p>
      <w:r>
        <w:rPr/>
        <w:t xml:space="preserve"> </w:t>
      </w:r>
    </w:p>
    <w:p/>
    <w:p>
      <w:pPr>
        <w:jc w:val="center"/>
      </w:pPr>
      <w:r>
        <w:rPr>
          <w:b/>
          <w:sz w:val="24"/>
        </w:rPr>
        <w:t>投标文件目录</w:t>
      </w:r>
    </w:p>
    <w:p>
      <w:pPr>
        <w:ind w:firstLine="480"/>
      </w:pPr>
      <w:r>
        <w:rPr/>
        <w:t>一、投标函</w:t>
      </w:r>
    </w:p>
    <w:p>
      <w:pPr>
        <w:ind w:firstLine="480"/>
      </w:pPr>
      <w:r>
        <w:rPr/>
        <w:t>二、开标一览表</w:t>
      </w:r>
    </w:p>
    <w:p>
      <w:pPr>
        <w:ind w:firstLine="480"/>
      </w:pPr>
      <w:r>
        <w:rPr/>
        <w:t>三、分项报价表</w:t>
      </w:r>
    </w:p>
    <w:p>
      <w:pPr>
        <w:ind w:firstLine="480"/>
      </w:pPr>
      <w:r>
        <w:rPr/>
        <w:t>四、政策适用性说明</w:t>
      </w:r>
    </w:p>
    <w:p>
      <w:pPr>
        <w:ind w:firstLine="480"/>
      </w:pPr>
      <w:r>
        <w:rPr/>
        <w:t>五、实质性响应一览表</w:t>
      </w:r>
    </w:p>
    <w:p>
      <w:pPr>
        <w:ind w:firstLine="480"/>
      </w:pPr>
      <w:r>
        <w:rPr/>
        <w:t>六、法定代表人证明书</w:t>
      </w:r>
    </w:p>
    <w:p>
      <w:pPr>
        <w:ind w:firstLine="480"/>
      </w:pPr>
      <w:r>
        <w:rPr/>
        <w:t>七、法定代表人授权书</w:t>
      </w:r>
    </w:p>
    <w:p>
      <w:pPr>
        <w:ind w:firstLine="480"/>
      </w:pPr>
      <w:r>
        <w:rPr/>
        <w:t>八、提供具有独立承担民事责任的能力的证明材料</w:t>
      </w:r>
    </w:p>
    <w:p>
      <w:pPr>
        <w:ind w:firstLine="480"/>
      </w:pPr>
      <w:r>
        <w:rPr/>
        <w:t>九、承诺函</w:t>
      </w:r>
    </w:p>
    <w:p>
      <w:pPr>
        <w:ind w:firstLine="480"/>
      </w:pPr>
      <w:r>
        <w:rPr/>
        <w:t>十、中小企业声明函</w:t>
      </w:r>
    </w:p>
    <w:p>
      <w:pPr>
        <w:ind w:firstLine="480"/>
      </w:pPr>
      <w:r>
        <w:rPr/>
        <w:t>十一、监狱企业</w:t>
      </w:r>
    </w:p>
    <w:p>
      <w:pPr>
        <w:ind w:firstLine="480"/>
      </w:pPr>
      <w:r>
        <w:rPr/>
        <w:t>十二、残疾人福利性单位声明函</w:t>
      </w:r>
    </w:p>
    <w:p>
      <w:pPr>
        <w:ind w:firstLine="480"/>
      </w:pPr>
      <w:r>
        <w:rPr/>
        <w:t>十三、联合体共同投标协议书</w:t>
      </w:r>
    </w:p>
    <w:p>
      <w:pPr>
        <w:ind w:firstLine="480"/>
      </w:pPr>
      <w:r>
        <w:rPr/>
        <w:t>十四、投标人业绩情况表</w:t>
      </w:r>
    </w:p>
    <w:p>
      <w:pPr>
        <w:ind w:firstLine="480"/>
      </w:pPr>
      <w:r>
        <w:rPr/>
        <w:t>十五、技术和服务要求响应表</w:t>
      </w:r>
    </w:p>
    <w:p>
      <w:pPr>
        <w:ind w:firstLine="480"/>
      </w:pPr>
      <w:r>
        <w:rPr/>
        <w:t>十六、商务条件响应表</w:t>
      </w:r>
    </w:p>
    <w:p>
      <w:pPr>
        <w:ind w:firstLine="480"/>
      </w:pPr>
      <w:r>
        <w:rPr/>
        <w:t>十七、履约进度计划表</w:t>
      </w:r>
    </w:p>
    <w:p>
      <w:pPr>
        <w:ind w:firstLine="480"/>
      </w:pPr>
      <w:r>
        <w:rPr/>
        <w:t>十八、各类证明材料</w:t>
      </w:r>
    </w:p>
    <w:p>
      <w:pPr>
        <w:ind w:firstLine="480"/>
      </w:pPr>
      <w:r>
        <w:rPr/>
        <w:t>十九、采购代理服务费支付承诺书</w:t>
      </w:r>
    </w:p>
    <w:p>
      <w:pPr>
        <w:ind w:firstLine="480"/>
      </w:pPr>
      <w:r>
        <w:rPr/>
        <w:t>二十、需要采购人提供的附加条件</w:t>
      </w:r>
    </w:p>
    <w:p>
      <w:pPr>
        <w:ind w:firstLine="480"/>
      </w:pPr>
      <w:r>
        <w:rPr/>
        <w:t>二十一、项目实施方案、质量保证及售后服务承诺等</w:t>
      </w:r>
    </w:p>
    <w:p>
      <w:pPr>
        <w:ind w:firstLine="480"/>
      </w:pPr>
      <w:r>
        <w:rPr/>
        <w:t>二十二、附件</w:t>
      </w:r>
    </w:p>
    <w:p>
      <w:pPr>
        <w:ind w:firstLine="480"/>
      </w:pPr>
      <w:r>
        <w:rPr/>
        <w:t>二十三、政府采购履约担保函、采购合同履约保险凭证</w:t>
      </w:r>
    </w:p>
    <w:p>
      <w:pPr>
        <w:ind w:firstLine="480"/>
      </w:pPr>
    </w:p>
    <w:p>
      <w:r>
        <w:rPr/>
        <w:t xml:space="preserve"> </w:t>
      </w:r>
    </w:p>
    <w:p/>
    <w:p>
      <w:r>
        <w:rPr>
          <w:b/>
          <w:sz w:val="28"/>
        </w:rPr>
        <w:t>格式一：</w:t>
      </w:r>
    </w:p>
    <w:p>
      <w:r>
        <w:rPr>
          <w:b/>
          <w:sz w:val="24"/>
        </w:rPr>
        <w:t>投标函</w:t>
      </w:r>
    </w:p>
    <w:p>
      <w:pPr>
        <w:ind w:firstLine="480"/>
      </w:pPr>
      <w:r>
        <w:rPr/>
        <w:t>致：</w:t>
      </w:r>
      <w:r>
        <w:rPr>
          <w:u w:val="single"/>
        </w:rPr>
        <w:t>广州市政府采购中心</w:t>
      </w:r>
    </w:p>
    <w:p>
      <w:pPr>
        <w:ind w:firstLine="480"/>
      </w:pPr>
      <w:r>
        <w:rPr/>
        <w:t>你方组织的</w:t>
      </w:r>
      <w:r>
        <w:rPr>
          <w:u w:val="single"/>
        </w:rPr>
        <w:t>“</w:t>
      </w:r>
      <w:r>
        <w:rPr>
          <w:u w:val="single"/>
        </w:rPr>
        <w:t>人工智能训练师等级认定实训室项目</w:t>
      </w:r>
      <w:r>
        <w:rPr>
          <w:u w:val="single"/>
        </w:rPr>
        <w:t>”</w:t>
      </w:r>
      <w:r>
        <w:rPr/>
        <w:t>项目的招标[采购项目编号为：</w:t>
      </w:r>
      <w:r>
        <w:rPr>
          <w:u w:val="single"/>
        </w:rPr>
        <w:t>CZ2023-0968</w:t>
      </w:r>
      <w:r>
        <w:rPr/>
        <w:t>]，我方愿参与投标。</w:t>
      </w:r>
    </w:p>
    <w:p>
      <w:pPr>
        <w:ind w:firstLine="480"/>
      </w:pPr>
      <w:r>
        <w:rPr/>
        <w:t>我方确认收到贵方提供的</w:t>
      </w:r>
      <w:r>
        <w:rPr>
          <w:u w:val="single"/>
        </w:rPr>
        <w:t>“</w:t>
      </w:r>
      <w:r>
        <w:rPr>
          <w:u w:val="single"/>
        </w:rPr>
        <w:t>人工智能训练师等级认定实训室项目</w:t>
      </w:r>
      <w:r>
        <w:rPr>
          <w:u w:val="single"/>
        </w:rPr>
        <w:t>”</w:t>
      </w:r>
      <w:r>
        <w:rPr/>
        <w:t>项目的招标文件的全部内容。</w:t>
      </w:r>
    </w:p>
    <w:p>
      <w:pPr>
        <w:ind w:firstLine="480"/>
      </w:pPr>
      <w:r>
        <w:rPr/>
        <w:t>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ind w:firstLine="480"/>
      </w:pPr>
      <w:r>
        <w:rPr>
          <w:u w:val="single"/>
        </w:rPr>
        <w:t>(投标人名称)</w:t>
      </w:r>
      <w:r>
        <w:rPr/>
        <w:t>作为投标人正式授权</w:t>
      </w:r>
      <w:r>
        <w:rPr>
          <w:u w:val="single"/>
        </w:rPr>
        <w:t>(授权代表全名,职务)</w:t>
      </w:r>
      <w:r>
        <w:rPr/>
        <w:t>代表我方全权处理有关本投标的一切事宜。</w:t>
      </w:r>
    </w:p>
    <w:p>
      <w:pPr>
        <w:ind w:firstLine="480"/>
      </w:pPr>
      <w:r>
        <w:rPr/>
        <w:t>我方已完全明白招标文件的所有条款要求，并申明如下：</w:t>
      </w:r>
    </w:p>
    <w:p>
      <w:pPr>
        <w:ind w:firstLine="480"/>
      </w:pPr>
      <w:r>
        <w:rPr/>
        <w:t>（一）按招标文件提供的全部货物与相关服务的投标总价详见《开标一览表》。</w:t>
      </w:r>
    </w:p>
    <w:p>
      <w:pPr>
        <w:ind w:firstLine="480"/>
      </w:pPr>
      <w:r>
        <w:rPr/>
        <w:t>（二）本投标文件的有效期为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ind w:firstLine="480"/>
      </w:pPr>
      <w:r>
        <w:rPr/>
        <w:t>（三）我方愿意向贵方提供任何与本项报价有关的数据、情况和技术资料。若贵方需要，我方愿意提供我方作出的一切承诺的证明材料。</w:t>
      </w:r>
    </w:p>
    <w:p>
      <w:pPr>
        <w:ind w:firstLine="480"/>
      </w:pPr>
      <w:r>
        <w:rPr/>
        <w:t>（四）我方理解贵方不一定接受最低投标价或任何贵方可能收到的投标。</w:t>
      </w:r>
    </w:p>
    <w:p>
      <w:pPr>
        <w:ind w:firstLine="480"/>
      </w:pPr>
      <w:r>
        <w:rPr/>
        <w:t>（五）我方如果中标，将保证履行招标文件及其澄清、修改文件（如果有）中的全部责任和义务，按质、按量、按期完成《采购需求》及《合同书》中的全部任务。</w:t>
      </w:r>
    </w:p>
    <w:p>
      <w:pPr>
        <w:ind w:firstLine="480"/>
      </w:pPr>
      <w:r>
        <w:rPr/>
        <w:t>（六）我方作为法律、财务和运作上独立于采购人、采购代理机构的投标人，在此保证所提交的所有文件和全部说明是真实的和正确的。</w:t>
      </w:r>
    </w:p>
    <w:p>
      <w:pPr>
        <w:ind w:firstLine="480"/>
      </w:pPr>
      <w:r>
        <w:rPr/>
        <w:t>（七）我方投标报价已包含应向知识产权所有权人支付的所有相关税费，并保证采购人在中国使用我方提供的货物或服务时，如有第三方提出侵犯其知识产权主张的，责任由我方承担。</w:t>
      </w:r>
    </w:p>
    <w:p>
      <w:pPr>
        <w:ind w:firstLine="480"/>
      </w:pPr>
      <w:r>
        <w:rPr/>
        <w:t>（八）我方接受采购人委托向贵方支付代理服务费，项目总报价已包含代理服务费，如果被确定为中标供应商，承诺向贵方足额支付。（若采购人支付代理服务费，则此条不适用）</w:t>
      </w:r>
    </w:p>
    <w:p>
      <w:pPr>
        <w:ind w:firstLine="480"/>
      </w:pPr>
      <w:r>
        <w:rPr/>
        <w:t>（九）我方与其他投标人不存在法定代表人或单位负责人为同一人或者存在直接控股、管理关系。</w:t>
      </w:r>
    </w:p>
    <w:p>
      <w:pPr>
        <w:ind w:firstLine="480"/>
      </w:pPr>
      <w:r>
        <w:rPr/>
        <w:t>（十）我方承诺未为本项目提供整体设计、规范编制或者项目管理、监理、检测等服务。</w:t>
      </w:r>
    </w:p>
    <w:p>
      <w:pPr>
        <w:ind w:firstLine="480"/>
      </w:pPr>
      <w:r>
        <w:rPr/>
        <w:t>（十一）我方未被列入法院失信被执行人名单中。</w:t>
      </w:r>
    </w:p>
    <w:p>
      <w:pPr>
        <w:ind w:firstLine="480"/>
      </w:pPr>
      <w:r>
        <w:rPr/>
        <w:t>（十二）我方具备《中华人民共和国政府采购法》第二十二条规定的条件，承诺如下：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以上内容如有虚假或与事实不符的，评标委员会可将我方做无效投标处理，我方愿意承担相应的法律责任。</w:t>
      </w:r>
    </w:p>
    <w:p>
      <w:pPr>
        <w:ind w:firstLine="480"/>
      </w:pPr>
      <w:r>
        <w:rPr/>
        <w:t>（十三）我方对在本函及投标文件中所作的所有承诺承担法律责任。</w:t>
      </w:r>
    </w:p>
    <w:p>
      <w:pPr>
        <w:ind w:firstLine="480"/>
      </w:pPr>
      <w:r>
        <w:rPr/>
        <w:t>（十四）所有与本招标有关的函件请发往下列地址：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w:t>
      </w:r>
    </w:p>
    <w:p>
      <w:pPr>
        <w:ind w:firstLine="480"/>
      </w:pPr>
      <w:r>
        <w:rPr/>
        <w:t>代表姓名：__________________职 务：__________________</w:t>
      </w:r>
    </w:p>
    <w:p>
      <w:pPr>
        <w:ind w:firstLine="480"/>
      </w:pPr>
    </w:p>
    <w:p>
      <w:pPr>
        <w:ind w:firstLine="480"/>
      </w:pPr>
    </w:p>
    <w:p>
      <w:pPr>
        <w:ind w:firstLine="480"/>
      </w:pPr>
    </w:p>
    <w:p>
      <w:pPr>
        <w:ind w:firstLine="480"/>
      </w:pPr>
    </w:p>
    <w:p>
      <w:r>
        <w:rPr/>
        <w:t>投标人法定代表人（或法定代表人授权代表）签字或盖章：__________________</w:t>
      </w:r>
    </w:p>
    <w:p>
      <w:r>
        <w:rPr/>
        <w:t>投标人名称（盖章）：__________________</w:t>
      </w:r>
    </w:p>
    <w:p>
      <w:r>
        <w:rPr/>
        <w:t>日期： 年 月 日</w:t>
      </w:r>
    </w:p>
    <w:p>
      <w:pPr>
        <w:ind w:firstLine="480"/>
      </w:pPr>
    </w:p>
    <w:p>
      <w:r>
        <w:rPr/>
        <w:t xml:space="preserve"> </w:t>
      </w:r>
    </w:p>
    <w:p/>
    <w:p>
      <w:r>
        <w:rPr>
          <w:b/>
          <w:sz w:val="28"/>
        </w:rPr>
        <w:t>格式二：</w:t>
      </w:r>
    </w:p>
    <w:p>
      <w:pPr>
        <w:jc w:val="center"/>
      </w:pPr>
      <w:r>
        <w:rPr>
          <w:b/>
          <w:sz w:val="24"/>
        </w:rPr>
        <w:t>开标一览表</w:t>
      </w:r>
    </w:p>
    <w:p>
      <w:pPr>
        <w:ind w:firstLine="480"/>
      </w:pPr>
      <w:r>
        <w:rPr/>
        <w:t>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投标报价（元/%）</w:t>
            </w:r>
          </w:p>
        </w:tc>
        <w:tc>
          <w:tcPr>
            <w:tcW w:type="dxa" w:w="1661"/>
          </w:tcPr>
          <w:p>
            <w:r>
              <w:rPr/>
              <w:t>交货或服务期</w:t>
            </w:r>
          </w:p>
        </w:tc>
        <w:tc>
          <w:tcPr>
            <w:tcW w:type="dxa" w:w="1661"/>
          </w:tcPr>
          <w:p>
            <w:r>
              <w:rPr/>
              <w:t>交货或服务地点</w:t>
            </w:r>
          </w:p>
        </w:tc>
      </w:tr>
      <w:tr>
        <w:tc>
          <w:tcPr>
            <w:tcW w:type="dxa" w:w="1661"/>
          </w:tcPr>
          <w:p>
            <w:r>
              <w:rPr/>
              <w:t>1</w:t>
            </w:r>
          </w:p>
        </w:tc>
        <w:tc>
          <w:tcPr>
            <w:tcW w:type="dxa" w:w="1661"/>
          </w:tcPr>
          <w:p/>
        </w:tc>
        <w:tc>
          <w:tcPr>
            <w:tcW w:type="dxa" w:w="1661"/>
          </w:tcPr>
          <w:p/>
        </w:tc>
        <w:tc>
          <w:tcPr>
            <w:tcW w:type="dxa" w:w="1661"/>
          </w:tcPr>
          <w:p/>
        </w:tc>
        <w:tc>
          <w:tcPr>
            <w:tcW w:type="dxa" w:w="1661"/>
          </w:tcPr>
          <w:p/>
        </w:tc>
      </w:tr>
    </w:tbl>
    <w:p>
      <w:r>
        <w:rPr/>
        <w:t>投标人签章：__________________</w:t>
      </w:r>
    </w:p>
    <w:p>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投标人名称：</w:t>
      </w:r>
    </w:p>
    <w:p>
      <w:pPr>
        <w:ind w:firstLine="480"/>
      </w:pPr>
      <w:r>
        <w:rPr/>
        <w:t>采购包：</w:t>
      </w:r>
    </w:p>
    <w:p>
      <w:r>
        <w:rPr/>
        <w:t>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rPr/>
        <w:t>投标人签章：__________________</w:t>
      </w:r>
    </w:p>
    <w:p>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2.“节能产品、环境标志产品”须填写认证证书编号，并在对应“节能产品”、“环境标志产品”栏中勾选，同时提供有效期内的证书复印件（加盖投标人公章）</w:t>
      </w:r>
    </w:p>
    <w:p>
      <w:r>
        <w:rPr/>
        <w:t xml:space="preserve"> 投标人名称（盖章）：__________________</w:t>
      </w:r>
    </w:p>
    <w:p>
      <w:r>
        <w:rPr/>
        <w:t>日期： 年 月 日</w:t>
      </w:r>
    </w:p>
    <w:p>
      <w:pPr>
        <w:ind w:firstLine="480"/>
      </w:pPr>
    </w:p>
    <w:p>
      <w:r>
        <w:rPr/>
        <w:t xml:space="preserve"> </w:t>
      </w:r>
    </w:p>
    <w:p/>
    <w:p>
      <w:r>
        <w:rPr>
          <w:b/>
          <w:sz w:val="28"/>
        </w:rPr>
        <w:t>格式五：</w:t>
      </w:r>
    </w:p>
    <w:p>
      <w:pPr>
        <w:jc w:val="center"/>
      </w:pPr>
      <w:r>
        <w:rPr>
          <w:b/>
          <w:sz w:val="24"/>
        </w:rPr>
        <w:t>实质性响应一览表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实质性响应条款</w:t>
            </w:r>
          </w:p>
        </w:tc>
        <w:tc>
          <w:tcPr>
            <w:tcW w:type="dxa" w:w="2076"/>
          </w:tcPr>
          <w:p>
            <w:r>
              <w:rPr/>
              <w:t>投标人响应情况</w:t>
            </w:r>
          </w:p>
        </w:tc>
        <w:tc>
          <w:tcPr>
            <w:tcW w:type="dxa" w:w="2076"/>
          </w:tcPr>
          <w:p>
            <w:r>
              <w:rPr/>
              <w:t>差异</w:t>
            </w:r>
          </w:p>
        </w:tc>
      </w:tr>
      <w:tr>
        <w:tc>
          <w:tcPr>
            <w:tcW w:type="dxa" w:w="2076"/>
          </w:tcPr>
          <w:p>
            <w:r>
              <w:rPr/>
              <w:t>1</w:t>
            </w:r>
          </w:p>
        </w:tc>
        <w:tc>
          <w:tcPr>
            <w:tcW w:type="dxa" w:w="2076"/>
          </w:tcPr>
          <w:p/>
        </w:tc>
        <w:tc>
          <w:tcPr>
            <w:tcW w:type="dxa" w:w="2076"/>
          </w:tcPr>
          <w:p/>
        </w:tc>
        <w:tc>
          <w:tcPr>
            <w:tcW w:type="dxa" w:w="2076"/>
          </w:tcPr>
          <w:p/>
        </w:tc>
      </w:tr>
      <w:tr>
        <w:tc>
          <w:tcPr>
            <w:tcW w:type="dxa" w:w="2076"/>
          </w:tcPr>
          <w:p>
            <w:r>
              <w:rPr/>
              <w:t>2</w:t>
            </w:r>
          </w:p>
        </w:tc>
        <w:tc>
          <w:tcPr>
            <w:tcW w:type="dxa" w:w="2076"/>
          </w:tcPr>
          <w:p/>
        </w:tc>
        <w:tc>
          <w:tcPr>
            <w:tcW w:type="dxa" w:w="2076"/>
          </w:tcPr>
          <w:p/>
        </w:tc>
        <w:tc>
          <w:tcPr>
            <w:tcW w:type="dxa" w:w="2076"/>
          </w:tcPr>
          <w:p/>
        </w:tc>
      </w:tr>
      <w:tr>
        <w:tc>
          <w:tcPr>
            <w:tcW w:type="dxa" w:w="2076"/>
          </w:tcPr>
          <w:p>
            <w:r>
              <w:rPr/>
              <w:t>3</w:t>
            </w:r>
          </w:p>
        </w:tc>
        <w:tc>
          <w:tcPr>
            <w:tcW w:type="dxa" w:w="2076"/>
          </w:tcPr>
          <w:p/>
        </w:tc>
        <w:tc>
          <w:tcPr>
            <w:tcW w:type="dxa" w:w="2076"/>
          </w:tcPr>
          <w:p/>
        </w:tc>
        <w:tc>
          <w:tcPr>
            <w:tcW w:type="dxa" w:w="2076"/>
          </w:tcPr>
          <w:p/>
        </w:tc>
      </w:tr>
      <w:tr>
        <w:tc>
          <w:tcPr>
            <w:tcW w:type="dxa" w:w="2076"/>
          </w:tcPr>
          <w:p>
            <w:r>
              <w:rPr/>
              <w:t>4</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r>
        <w:tc>
          <w:tcPr>
            <w:tcW w:type="dxa" w:w="2076"/>
          </w:tcPr>
          <w:p>
            <w:r>
              <w:rPr/>
              <w:t>…</w:t>
            </w:r>
          </w:p>
        </w:tc>
        <w:tc>
          <w:tcPr>
            <w:tcW w:type="dxa" w:w="2076"/>
          </w:tcPr>
          <w:p/>
        </w:tc>
        <w:tc>
          <w:tcPr>
            <w:tcW w:type="dxa" w:w="2076"/>
          </w:tcPr>
          <w:p/>
        </w:tc>
        <w:tc>
          <w:tcPr>
            <w:tcW w:type="dxa" w:w="2076"/>
          </w:tcPr>
          <w:p/>
        </w:tc>
      </w:tr>
    </w:tbl>
    <w:p>
      <w:pPr>
        <w:ind w:firstLine="480"/>
      </w:pPr>
      <w:r>
        <w:rPr/>
        <w:t>说明：</w:t>
      </w:r>
    </w:p>
    <w:p>
      <w:pPr>
        <w:ind w:firstLine="480"/>
      </w:pPr>
      <w:r>
        <w:rPr/>
        <w:t>1.实质性响应条款一览表后续内容请根据第二章采购需求★号条款详细列举</w:t>
      </w:r>
    </w:p>
    <w:p>
      <w:pPr>
        <w:ind w:firstLine="480"/>
      </w:pPr>
      <w:r>
        <w:rPr/>
        <w:t>2.本表所列条款必须一一予以响应，“投标人响应情况”一栏应填写具体的响应内容，有差异的要具体说明。</w:t>
      </w:r>
    </w:p>
    <w:p>
      <w:pPr>
        <w:ind w:firstLine="480"/>
      </w:pPr>
      <w:r>
        <w:rPr/>
        <w:t>3.请投标人认真填写本表内容，如填写错误将可能导致投标无效。</w:t>
      </w:r>
    </w:p>
    <w:p>
      <w:pPr>
        <w:ind w:firstLine="480"/>
      </w:pPr>
    </w:p>
    <w:p>
      <w:r>
        <w:rPr/>
        <w:t xml:space="preserve"> </w:t>
      </w:r>
    </w:p>
    <w:p/>
    <w:p>
      <w:r>
        <w:rPr>
          <w:b/>
          <w:sz w:val="28"/>
        </w:rPr>
        <w:t>格式六：</w:t>
      </w:r>
    </w:p>
    <w:p>
      <w:pPr>
        <w:ind w:firstLine="480"/>
      </w:pPr>
      <w:r>
        <w:rPr/>
        <w:t>（投标人可使用下述格式，也可使用广东省工商行政管理局统一印制的法定代表人证明书格式）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w:t>
      </w:r>
    </w:p>
    <w:p>
      <w:pPr>
        <w:ind w:firstLine="480"/>
      </w:pPr>
    </w:p>
    <w:p>
      <w:pPr>
        <w:ind w:firstLine="480"/>
      </w:pPr>
    </w:p>
    <w:p>
      <w:r>
        <w:rPr/>
        <w:t xml:space="preserve"> 投标人名称（盖章）：__________________</w:t>
      </w:r>
    </w:p>
    <w:p>
      <w:r>
        <w:rPr/>
        <w:t xml:space="preserve"> 地址：__________________</w:t>
      </w:r>
    </w:p>
    <w:p>
      <w:r>
        <w:rPr/>
        <w:t xml:space="preserve"> 法定代表人（签字或盖章）：__________________</w:t>
      </w:r>
    </w:p>
    <w:p>
      <w:r>
        <w:rPr/>
        <w:t xml:space="preserve"> 职务：__________________</w:t>
      </w:r>
    </w:p>
    <w:p>
      <w:r>
        <w:rPr/>
        <w:t>日期： 年 月 日</w:t>
      </w:r>
    </w:p>
    <w:p>
      <w:pPr>
        <w:ind w:firstLine="480"/>
      </w:pPr>
    </w:p>
    <w:p>
      <w:r>
        <w:rPr/>
        <w:t xml:space="preserve"> </w:t>
      </w:r>
    </w:p>
    <w:p/>
    <w:p>
      <w:r>
        <w:rPr>
          <w:b/>
          <w:sz w:val="28"/>
        </w:rPr>
        <w:t>格式七：</w:t>
      </w:r>
    </w:p>
    <w:p>
      <w:pPr>
        <w:jc w:val="center"/>
      </w:pPr>
      <w:r>
        <w:rPr>
          <w:b/>
          <w:sz w:val="24"/>
        </w:rPr>
        <w:t>法定代表人授权书格式</w:t>
      </w:r>
    </w:p>
    <w:p>
      <w:pPr>
        <w:ind w:firstLine="480"/>
      </w:pPr>
      <w:r>
        <w:rPr/>
        <w:t>（对于银行、保险、电信、邮政、铁路等行业以及获得总公司投标授权的分公司，可以提供投标分支机构负责人授权书）</w:t>
      </w:r>
    </w:p>
    <w:p>
      <w:pPr>
        <w:jc w:val="center"/>
      </w:pPr>
      <w:r>
        <w:rPr>
          <w:b/>
          <w:sz w:val="24"/>
        </w:rPr>
        <w:t>法定代表人授权书</w:t>
      </w:r>
    </w:p>
    <w:p>
      <w:pPr>
        <w:ind w:firstLine="480"/>
      </w:pPr>
      <w:r>
        <w:rPr/>
        <w:t>致：</w:t>
      </w:r>
      <w:r>
        <w:rPr/>
        <w:t>广州市政府采购中心</w:t>
      </w:r>
    </w:p>
    <w:p>
      <w:pPr>
        <w:ind w:firstLine="480"/>
      </w:pPr>
      <w:r>
        <w:rPr/>
        <w:t>本授权书声明：________是注册于</w:t>
      </w:r>
      <w:r>
        <w:rPr>
          <w:u w:val="single"/>
        </w:rPr>
        <w:t>（国家或地区）</w:t>
      </w:r>
      <w:r>
        <w:rPr/>
        <w:t>的</w:t>
      </w:r>
      <w:r>
        <w:rPr>
          <w:u w:val="single"/>
        </w:rPr>
        <w:t>（投标人名称）</w:t>
      </w:r>
      <w:r>
        <w:rPr/>
        <w:t>的法定代表人，现任________职务，有效证件号码：________________。现授权</w:t>
      </w:r>
      <w:r>
        <w:rPr>
          <w:u w:val="single"/>
        </w:rPr>
        <w:t>（姓名、职务）</w:t>
      </w:r>
      <w:r>
        <w:rPr/>
        <w:t>作为我公司的全权代理人，就“</w:t>
      </w:r>
      <w:r>
        <w:rPr/>
        <w:t>人工智能训练师等级认定实训室项目</w:t>
      </w:r>
      <w:r>
        <w:rPr/>
        <w:t>”项目采购[采购项目编号为</w:t>
      </w:r>
      <w:r>
        <w:rPr/>
        <w:t>CZ2023-0968</w:t>
      </w:r>
      <w:r>
        <w:rPr/>
        <w:t>]的投标和合同执行，以我方的名义处理一切与之有关的事宜。</w:t>
      </w:r>
    </w:p>
    <w:p>
      <w:pPr>
        <w:ind w:firstLine="480"/>
      </w:pPr>
      <w:r>
        <w:rPr/>
        <w:t>本授权书于________年________月________日签字生效，特此声明。</w:t>
      </w:r>
    </w:p>
    <w:p>
      <w:r>
        <w:rPr/>
        <w:t xml:space="preserve"> 投标人（盖章）：__________________</w:t>
      </w:r>
    </w:p>
    <w:p>
      <w:r>
        <w:rPr/>
        <w:t xml:space="preserve"> 地址：__________________</w:t>
      </w:r>
    </w:p>
    <w:p>
      <w:r>
        <w:rPr/>
        <w:t xml:space="preserve"> 法定代表人（签字或盖章）：__________________</w:t>
      </w:r>
    </w:p>
    <w:p>
      <w:r>
        <w:rPr/>
        <w:t xml:space="preserve"> 职务：__________________</w:t>
      </w:r>
    </w:p>
    <w:p>
      <w:r>
        <w:rPr/>
        <w:t xml:space="preserve"> 被授权人（签字或盖章）：__________________</w:t>
      </w:r>
    </w:p>
    <w:p>
      <w:r>
        <w:rPr/>
        <w:t xml:space="preserve"> 职务：__________________</w:t>
      </w:r>
    </w:p>
    <w:p>
      <w:r>
        <w:rPr/>
        <w:t>日期： 年 月 日</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r>
        <w:rPr/>
        <w:t>提供以下相关证照的扫描件之一：1.企业法人提供企业法人营业执照；2.事业法人提供事业法人登记证；3.其他组织提供其他组织的营业执照或执业许可证；4.自然人提供居民身份证等；</w:t>
      </w:r>
    </w:p>
    <w:p>
      <w:pPr>
        <w:ind w:firstLine="480"/>
      </w:pPr>
    </w:p>
    <w:p>
      <w:r>
        <w:rPr/>
        <w:t xml:space="preserve"> </w:t>
      </w:r>
    </w:p>
    <w:p/>
    <w:p>
      <w:r>
        <w:rPr>
          <w:b/>
          <w:sz w:val="28"/>
        </w:rPr>
        <w:t>格式九：</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广州市公用事业技师学院</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w:t>
      </w:r>
    </w:p>
    <w:p>
      <w:pPr>
        <w:ind w:firstLine="480"/>
      </w:pPr>
      <w:r>
        <w:rPr/>
        <w:t>（以下格式文件由供应商根据需要选用）</w:t>
      </w:r>
    </w:p>
    <w:p>
      <w:pPr>
        <w:ind w:firstLine="480"/>
      </w:pPr>
      <w:r>
        <w:rPr/>
        <w:t>中小企业声明函（所投产品制造商为中小企业时提交本函，所属行业应符合采购文件中明确的本项目所属行业）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中小企业声明函（承建本项目工程为中小企业或者承接本项目服务为中小企业时提交本函，所属行业应符合采购文件中明确的本项目所属行业）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r>
        <w:rPr/>
        <w:t xml:space="preserve"> 企业名称（盖章）：__________________</w:t>
      </w:r>
    </w:p>
    <w:p>
      <w:r>
        <w:rPr/>
        <w:t>日期： 年 月 日</w:t>
      </w:r>
    </w:p>
    <w:p>
      <w:pPr>
        <w:ind w:firstLine="480"/>
      </w:pPr>
      <w:r>
        <w:rPr/>
        <w:t>1：从业人员、营业收入、资产总额填报上一年度数据，无上一年度数据的新成立企业可不填报。</w:t>
      </w:r>
    </w:p>
    <w:p>
      <w:pPr>
        <w:ind w:firstLine="480"/>
      </w:pPr>
      <w:r>
        <w:rPr/>
        <w:t>2：投标人应当自行核实是否属于小微企业，并认真填写声明函，若有虚假将追究其责任。</w:t>
      </w:r>
    </w:p>
    <w:p>
      <w:r>
        <w:rPr/>
        <w:t>温馨提示：根据《广州市财政局 广州市工业和信息化局转发广东省财政厅 广东省发展和改革委员会 广东省工业和信息化厅 广东省地方 金融监督管理局关于印发《广东省政府采购促进中小企业发展实施 细则（试行）》的通知》的精神，投标人需根据以下要求对其出具的《中小企业声明函》的信息进行完善和规范。</w:t>
      </w:r>
    </w:p>
    <w:p>
      <w:pPr>
        <w:ind w:firstLine="480"/>
      </w:pPr>
      <w:r>
        <w:rPr/>
        <w:t>（一）对于已纳入统计部门统计范围的企业，所属行业、从业人员、营业收入、资产总额、规模类型应与统计部门报表保持一致。</w:t>
      </w:r>
    </w:p>
    <w:p>
      <w:pPr>
        <w:ind w:firstLine="480"/>
      </w:pPr>
      <w:r>
        <w:rPr/>
        <w:t>（二）对于未纳入统计部门统计范围的企业，应对照《国民经济行业分类》确定所属行业，当企业从事两种以上的经济活动时，则按照主要活动确定其所属行业；从业人数可以社会保险参保人数为准；营业收入、资产总额可以第三方出具的报告为准。</w:t>
      </w:r>
    </w:p>
    <w:p>
      <w:pPr>
        <w:ind w:firstLine="480"/>
      </w:pPr>
      <w:r>
        <w:rPr/>
        <w:t>（三）对于采购文件确实允许非独立法人参与采购活动的，应按其所属集团公司合并财务报表数据情况予以填报。以联合体形式参加或者合同分包的，需填写联合体中的中小企业或签订分包意向协议的中小企业相关信息。</w:t>
      </w:r>
    </w:p>
    <w:p>
      <w:pPr>
        <w:ind w:firstLine="480"/>
      </w:pPr>
      <w:r>
        <w:rPr/>
        <w:t>（四）《中小企业声明函》真实性由其出具的供应商负责。《中小企业声明函》中相关企业[制造商、承建（承接）企业]所属行业应当与采购标的的所属行业相一致。如为货物采购项目，《中小企业声明函》应当充分、准确反映货物制造商的信息。</w:t>
      </w:r>
    </w:p>
    <w:p>
      <w:pPr>
        <w:ind w:firstLine="480"/>
      </w:pPr>
      <w:r>
        <w:rPr/>
        <w:t>（五）对于专门面向中小企业预留份额的采购项目或者采购包，《中小企业声明函》由采购人、采购代理机构在资格审查阶段审查；对于不专门面向中小企业采购的采购项目或者采购包，以及接受大中型企业与小微企业组成联合体或者允许大中型企业向一家或者多家小微企业分包的采购项目，《中小企业声明函》由评审委员会在评审过程中审查。</w:t>
      </w:r>
    </w:p>
    <w:p>
      <w:pPr>
        <w:ind w:firstLine="480"/>
      </w:pPr>
      <w:r>
        <w:rPr/>
        <w:t>（六）经调查发现供应商提供《中小企业声明函》内容与实际不符的，政府采购监管部门有权根据《中小企业声明函》与实际情况的差异视情形认定其是否属于虚假材料谋取中标。</w:t>
      </w:r>
    </w:p>
    <w:p>
      <w:pPr>
        <w:ind w:firstLine="480"/>
      </w:pPr>
    </w:p>
    <w:p>
      <w:r>
        <w:rPr/>
        <w:t xml:space="preserve"> </w:t>
      </w:r>
    </w:p>
    <w:p/>
    <w:p>
      <w:r>
        <w:rPr>
          <w:b/>
          <w:sz w:val="28"/>
        </w:rPr>
        <w:t>格式十一：</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r>
        <w:rPr/>
        <w:t xml:space="preserve"> 单位名称（盖章）：__________________</w:t>
      </w:r>
    </w:p>
    <w:p>
      <w:r>
        <w:rPr/>
        <w:t>日期： 年 月 日</w:t>
      </w:r>
    </w:p>
    <w:p>
      <w:pPr>
        <w:ind w:firstLine="480"/>
      </w:pPr>
      <w:r>
        <w:rPr/>
        <w:t>注：本函未填写或未勾选视作未做声明。</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联合体共同投标协议书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ind w:firstLine="480"/>
      </w:pPr>
      <w:r>
        <w:rPr/>
        <w:t>二、联合体内部有关事项约定如下：</w:t>
      </w:r>
    </w:p>
    <w:p>
      <w:pPr>
        <w:ind w:firstLine="480"/>
      </w:pPr>
      <w:r>
        <w:rPr/>
        <w:t>1.（甲公司全称）作为联合体的牵头单位，代表联合体双方负责投标和合同实施阶段的主办、协调工作。</w:t>
      </w:r>
    </w:p>
    <w:p>
      <w:pPr>
        <w:ind w:firstLine="480"/>
      </w:pPr>
      <w:r>
        <w:rPr/>
        <w:t>2.联合体将严格按照文件的各项要求，递交投标文件，切实执行一切合同文件，共同承担合同规定的一切义务和责任，同时按照内部职责的划分，承担自身所负的责任和风险，在法律在承担连带责任。</w:t>
      </w:r>
    </w:p>
    <w:p>
      <w:pPr>
        <w:ind w:firstLine="480"/>
      </w:pPr>
      <w:r>
        <w:rPr/>
        <w:t>3.如果本联合体中标，</w:t>
      </w:r>
      <w:r>
        <w:rPr>
          <w:u w:val="single"/>
        </w:rPr>
        <w:t>（甲公司全称）</w:t>
      </w:r>
      <w:r>
        <w:rPr/>
        <w:t>负责本项目___________部分，</w:t>
      </w:r>
      <w:r>
        <w:rPr>
          <w:u w:val="single"/>
        </w:rPr>
        <w:t>（乙公司全称）</w:t>
      </w:r>
      <w:r>
        <w:rPr/>
        <w:t>负责本项目___________部分。</w:t>
      </w:r>
    </w:p>
    <w:p>
      <w:pPr>
        <w:ind w:firstLine="480"/>
      </w:pPr>
      <w:r>
        <w:rPr/>
        <w:t>4.如中标，联合体各方共同与（采购人）签订合同书，并就中标项目向采购人负责有连带的和各自的法律责任；</w:t>
      </w:r>
    </w:p>
    <w:p>
      <w:pPr>
        <w:ind w:firstLine="480"/>
      </w:pPr>
      <w:r>
        <w:rPr/>
        <w:t>5.联合体成员（公司全称）为（请填写：小型、微型）企业，将承担合同总金额_____%的工作内容（联合体成员中有小型、微型企业时适用）。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五、本协议在自签署之日起生效，有效期内有效，如获中标资格，合同有效期延续至合同履行完毕之日。</w:t>
      </w:r>
    </w:p>
    <w:p>
      <w:pPr>
        <w:ind w:firstLine="480"/>
      </w:pPr>
      <w:r>
        <w:rPr/>
        <w:t>六、本协议书正本一式_____份，随投标文件装订_____份，送采购人_____份，联合体成员各一份；副本一式_____份，联合体成员各执_____份。</w:t>
      </w:r>
    </w:p>
    <w:p>
      <w:r>
        <w:rPr/>
        <w:t>甲公司全称：____（盖章）________，乙公司全称：____（盖章）________，……公司全称：____（盖章）________，</w:t>
      </w:r>
    </w:p>
    <w:p>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根据上述业绩情况，按招标文件要求附销售或服务合同复印件及评审标准要求的证明材料。</w:t>
      </w:r>
    </w:p>
    <w:p>
      <w:pPr>
        <w:ind w:firstLine="480"/>
      </w:pPr>
    </w:p>
    <w:p>
      <w:r>
        <w:rPr/>
        <w:t xml:space="preserve"> </w:t>
      </w:r>
    </w:p>
    <w:p/>
    <w:p>
      <w:r>
        <w:rPr>
          <w:b/>
          <w:sz w:val="28"/>
        </w:rPr>
        <w:t>格式十五：</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采购文件规定的技术和服务要求</w:t>
            </w:r>
          </w:p>
        </w:tc>
        <w:tc>
          <w:tcPr>
            <w:tcW w:type="dxa" w:w="923"/>
          </w:tcPr>
          <w:p>
            <w:r>
              <w:rPr/>
              <w:t>投标文件响应的具体内容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1.“采购文件规定的技术和服务要求”项下填写的内容应与招标文件中采购需求的</w:t>
        <w:tab/>
        <w:tab/>
        <w:t>“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ind w:firstLine="480"/>
      </w:pPr>
      <w:r>
        <w:rPr/>
        <w:t>2.</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3. “是否偏离”项下应按下列规定填写：优于的，填写“正偏离”；符合的，填写“无偏离”；低于的，填写“负偏离”。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格式十六：</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采购文件规定的商务条件</w:t>
            </w:r>
          </w:p>
        </w:tc>
        <w:tc>
          <w:tcPr>
            <w:tcW w:type="dxa" w:w="1187"/>
          </w:tcPr>
          <w:p>
            <w:r>
              <w:rPr/>
              <w:t>投标文件响应的具体内容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 “采购文件规定的商务条件”项下填写的内容应与招标文件中采购需求的 “商务要求”的内容保持一致。</w:t>
      </w:r>
    </w:p>
    <w:p>
      <w:pPr>
        <w:ind w:firstLine="480"/>
      </w:pPr>
      <w:r>
        <w:rPr/>
        <w:t>2.</w:t>
        <w:tab/>
        <w:tab/>
        <w:tab/>
        <w:t xml:space="preserve"> 投标人应当如实填写上表“投标文件响应的具体内容”处内容，对采购文件规定的商务条件作出明确响应，并列明具体响应数值或内容，只注明符合、满足等无具体内容表述或照搬照抄采购文件参数、不注明实际数值者 的，将视为未实质性满足招标文件要求。投标人需要说明的内容若需特殊表达，应先在本表中进行相应说明，再另页应答，否则投标无效。</w:t>
      </w:r>
    </w:p>
    <w:p>
      <w:pPr>
        <w:ind w:firstLine="480"/>
      </w:pPr>
      <w:r>
        <w:rPr/>
        <w:t>3.</w:t>
        <w:tab/>
        <w:tab/>
        <w:tab/>
        <w:t xml:space="preserve">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ind w:firstLine="480"/>
      </w:pPr>
      <w:r>
        <w:rPr/>
        <w:t>4. “是否偏离”项下应按下列规定填写：优于的，填写“正偏离”；符合的，填写“无偏离”；低于的，填写“负偏离”。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格式十七：</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r>
              <w:rPr/>
              <w:t>1</w:t>
            </w:r>
          </w:p>
        </w:tc>
        <w:tc>
          <w:tcPr>
            <w:tcW w:type="dxa" w:w="2076"/>
          </w:tcPr>
          <w:p>
            <w:r>
              <w:rPr/>
              <w:t>拟定___年___月___日</w:t>
            </w:r>
          </w:p>
        </w:tc>
        <w:tc>
          <w:tcPr>
            <w:tcW w:type="dxa" w:w="2076"/>
          </w:tcPr>
          <w:p>
            <w:r>
              <w:rPr/>
              <w:t>签定合同并生效</w:t>
            </w:r>
          </w:p>
        </w:tc>
        <w:tc>
          <w:tcPr>
            <w:tcW w:type="dxa" w:w="2076"/>
          </w:tcPr>
          <w:p/>
        </w:tc>
      </w:tr>
      <w:tr>
        <w:tc>
          <w:tcPr>
            <w:tcW w:type="dxa" w:w="2076"/>
          </w:tcPr>
          <w:p>
            <w:r>
              <w:rPr/>
              <w:t>2</w:t>
            </w:r>
          </w:p>
        </w:tc>
        <w:tc>
          <w:tcPr>
            <w:tcW w:type="dxa" w:w="2076"/>
          </w:tcPr>
          <w:p>
            <w:r>
              <w:rPr/>
              <w:t>___月___日—___月___日</w:t>
            </w:r>
          </w:p>
        </w:tc>
        <w:tc>
          <w:tcPr>
            <w:tcW w:type="dxa" w:w="2076"/>
          </w:tcPr>
          <w:p/>
        </w:tc>
        <w:tc>
          <w:tcPr>
            <w:tcW w:type="dxa" w:w="2076"/>
          </w:tcPr>
          <w:p/>
        </w:tc>
      </w:tr>
      <w:tr>
        <w:tc>
          <w:tcPr>
            <w:tcW w:type="dxa" w:w="2076"/>
          </w:tcPr>
          <w:p>
            <w:r>
              <w:rPr/>
              <w:t>3</w:t>
            </w:r>
          </w:p>
        </w:tc>
        <w:tc>
          <w:tcPr>
            <w:tcW w:type="dxa" w:w="2076"/>
          </w:tcPr>
          <w:p>
            <w:r>
              <w:rPr/>
              <w:t>___月___日—___月___日</w:t>
            </w:r>
          </w:p>
        </w:tc>
        <w:tc>
          <w:tcPr>
            <w:tcW w:type="dxa" w:w="2076"/>
          </w:tcPr>
          <w:p/>
        </w:tc>
        <w:tc>
          <w:tcPr>
            <w:tcW w:type="dxa" w:w="2076"/>
          </w:tcPr>
          <w:p/>
        </w:tc>
      </w:tr>
      <w:tr>
        <w:tc>
          <w:tcPr>
            <w:tcW w:type="dxa" w:w="2076"/>
          </w:tcPr>
          <w:p>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各类证明材料</w:t>
      </w:r>
    </w:p>
    <w:p>
      <w:pPr>
        <w:ind w:firstLine="480"/>
      </w:pPr>
      <w:r>
        <w:rPr/>
        <w:t>1.招标文件要求提供的其他资料。</w:t>
      </w:r>
    </w:p>
    <w:p>
      <w:pPr>
        <w:ind w:firstLine="480"/>
      </w:pPr>
      <w:r>
        <w:rPr/>
        <w:t>2.投标人认为需提供的其他资料。</w:t>
      </w:r>
    </w:p>
    <w:p>
      <w:pPr>
        <w:ind w:firstLine="480"/>
      </w:pPr>
    </w:p>
    <w:p>
      <w:r>
        <w:rPr/>
        <w:t xml:space="preserve"> </w:t>
      </w:r>
    </w:p>
    <w:p/>
    <w:p>
      <w:r>
        <w:rPr>
          <w:b/>
          <w:sz w:val="28"/>
        </w:rPr>
        <w:t>格式十九：</w:t>
      </w:r>
    </w:p>
    <w:p>
      <w:pPr>
        <w:jc w:val="center"/>
      </w:pPr>
      <w:r>
        <w:rPr>
          <w:b/>
          <w:sz w:val="24"/>
        </w:rPr>
        <w:t>采购代理服务费支付承诺书</w:t>
      </w:r>
    </w:p>
    <w:p>
      <w:pPr>
        <w:ind w:firstLine="480"/>
      </w:pPr>
      <w:r>
        <w:rPr/>
        <w:t>致：</w:t>
      </w:r>
      <w:r>
        <w:rPr/>
        <w:t>广州市政府采购中心</w:t>
      </w:r>
    </w:p>
    <w:p>
      <w:pPr>
        <w:ind w:firstLine="480"/>
      </w:pPr>
      <w:r>
        <w:rPr/>
        <w:t>如果我方在贵采购代理机构组织的</w:t>
      </w:r>
      <w:r>
        <w:rPr/>
        <w:t>人工智能训练师等级认定实训室项目</w:t>
      </w:r>
      <w:r>
        <w:rPr/>
        <w:t>招标中获中标（采购项目编号：</w:t>
      </w:r>
      <w:r>
        <w:rPr/>
        <w:t>CZ2023-0968</w:t>
      </w:r>
      <w:r>
        <w:rPr/>
        <w:t>），我方保证在收取《中标通知书》时，按招标文件对代理服务费支付方式的约定，承担本项目代理服务费。</w:t>
      </w:r>
    </w:p>
    <w:p>
      <w:pPr>
        <w:ind w:firstLine="480"/>
      </w:pPr>
      <w:r>
        <w:rPr/>
        <w:t>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广州市政府采购中心</w:t>
      </w:r>
      <w:r>
        <w:rPr/>
        <w:t>的要求办理支付手续。</w:t>
      </w:r>
    </w:p>
    <w:p>
      <w:pPr>
        <w:ind w:firstLine="480"/>
      </w:pPr>
      <w:r>
        <w:rPr/>
        <w:t>特此承诺！</w:t>
      </w:r>
    </w:p>
    <w:p>
      <w:pPr>
        <w:ind w:firstLine="480"/>
      </w:pPr>
    </w:p>
    <w:p>
      <w:r>
        <w:rPr/>
        <w:t>投标人法定名称（公章）；_____________________</w:t>
      </w:r>
    </w:p>
    <w:p>
      <w:r>
        <w:rPr/>
        <w:t>投标人法定地址：_____________________</w:t>
      </w:r>
    </w:p>
    <w:p>
      <w:r>
        <w:rPr/>
        <w:t>投标人授权代表（签字或盖章）：_____________________</w:t>
      </w:r>
    </w:p>
    <w:p>
      <w:r>
        <w:rPr/>
        <w:t>电 话：_____________________</w:t>
      </w:r>
    </w:p>
    <w:p>
      <w:r>
        <w:rPr/>
        <w:t>传 真：_____________________</w:t>
      </w:r>
    </w:p>
    <w:p>
      <w:r>
        <w:rPr/>
        <w:t>承诺日期：_____________________</w:t>
      </w:r>
    </w:p>
    <w:p>
      <w:pPr>
        <w:ind w:firstLine="480"/>
      </w:pPr>
    </w:p>
    <w:p>
      <w:r>
        <w:rPr/>
        <w:t xml:space="preserve"> </w:t>
      </w:r>
    </w:p>
    <w:p/>
    <w:p>
      <w:r>
        <w:rPr>
          <w:b/>
          <w:sz w:val="28"/>
        </w:rPr>
        <w:t>格式二十：</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投标人需要采购人提供的附加条件</w:t>
            </w:r>
          </w:p>
        </w:tc>
      </w:tr>
      <w:tr>
        <w:tc>
          <w:tcPr>
            <w:tcW w:type="dxa" w:w="4153"/>
          </w:tcPr>
          <w:p>
            <w:r>
              <w:rPr/>
              <w:t>1</w:t>
            </w:r>
          </w:p>
        </w:tc>
        <w:tc>
          <w:tcPr>
            <w:tcW w:type="dxa" w:w="4153"/>
          </w:tcPr>
          <w:p/>
        </w:tc>
      </w:tr>
      <w:tr>
        <w:tc>
          <w:tcPr>
            <w:tcW w:type="dxa" w:w="4153"/>
          </w:tcPr>
          <w:p>
            <w:r>
              <w:rPr/>
              <w:t>2</w:t>
            </w:r>
          </w:p>
        </w:tc>
        <w:tc>
          <w:tcPr>
            <w:tcW w:type="dxa" w:w="4153"/>
          </w:tcPr>
          <w:p/>
        </w:tc>
      </w:tr>
      <w:tr>
        <w:tc>
          <w:tcPr>
            <w:tcW w:type="dxa" w:w="4153"/>
          </w:tcPr>
          <w:p>
            <w:r>
              <w:rPr/>
              <w:t>3</w:t>
            </w:r>
          </w:p>
        </w:tc>
        <w:tc>
          <w:tcPr>
            <w:tcW w:type="dxa" w:w="4153"/>
          </w:tcPr>
          <w:p/>
        </w:tc>
      </w:tr>
    </w:tbl>
    <w:p>
      <w:pPr>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ind w:firstLine="480"/>
      </w:pPr>
    </w:p>
    <w:p>
      <w:r>
        <w:rPr/>
        <w:t xml:space="preserve"> </w:t>
      </w:r>
    </w:p>
    <w:p/>
    <w:p>
      <w:r>
        <w:rPr>
          <w:b/>
          <w:sz w:val="28"/>
        </w:rPr>
        <w:t>格式二十一：</w:t>
      </w:r>
    </w:p>
    <w:p>
      <w:pPr>
        <w:ind w:firstLine="480"/>
      </w:pPr>
      <w:r>
        <w:rPr/>
        <w:t>（以下格式文件由供应商根据需要选用）</w:t>
      </w:r>
    </w:p>
    <w:p>
      <w:pPr>
        <w:ind w:firstLine="480"/>
      </w:pPr>
      <w:r>
        <w:rPr/>
        <w:t>项目实施方案、质量保证及售后服务承诺等内容和格式自拟。</w:t>
      </w:r>
    </w:p>
    <w:p>
      <w:pPr>
        <w:ind w:firstLine="480"/>
      </w:pPr>
    </w:p>
    <w:p>
      <w:r>
        <w:rPr/>
        <w:t xml:space="preserve"> </w:t>
      </w:r>
    </w:p>
    <w:p/>
    <w:p>
      <w:r>
        <w:rPr>
          <w:b/>
          <w:sz w:val="28"/>
        </w:rPr>
        <w:t>格式二十二：</w:t>
      </w:r>
    </w:p>
    <w:p>
      <w:pPr>
        <w:ind w:firstLine="480"/>
      </w:pPr>
      <w:r>
        <w:rPr/>
        <w:t>附件（以下格式文件由供应商根据需要选用）</w:t>
      </w:r>
    </w:p>
    <w:p>
      <w:pPr>
        <w:jc w:val="center"/>
      </w:pPr>
      <w:r>
        <w:rPr>
          <w:b/>
          <w:sz w:val="24"/>
        </w:rPr>
        <w:t>政府采购投标（响应）担保函</w:t>
      </w:r>
    </w:p>
    <w:p>
      <w:r>
        <w:rPr/>
        <w:t>编号：【 】号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ind w:firstLine="480"/>
      </w:pPr>
      <w:r>
        <w:rPr/>
        <w:t>一、保险责任的情形及保证金额</w:t>
      </w:r>
    </w:p>
    <w:p>
      <w:pPr>
        <w:ind w:firstLine="480"/>
      </w:pPr>
      <w:r>
        <w:rPr/>
        <w:t>（一）在投标（响应）人出现下列情形之一时，我方承担保险责任：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（二）我方承担保险责任的最高金额为人民币__________元（大写）即本项目的投标（响应）保证金金额。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我方的保证期间为：本保险凭证自__年__月__日起生效，有效期至开标日后的90天内。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 法院。</w:t>
      </w:r>
    </w:p>
    <w:p>
      <w:pPr>
        <w:ind w:firstLine="480"/>
      </w:pPr>
      <w:r>
        <w:rPr/>
        <w:t>七、保函的生效</w:t>
      </w:r>
    </w:p>
    <w:p>
      <w:pPr>
        <w:ind w:firstLine="480"/>
      </w:pPr>
      <w:r>
        <w:rPr/>
        <w:t>本保函自我方加盖公章之日起生效。</w:t>
      </w:r>
    </w:p>
    <w:p>
      <w:pPr>
        <w:ind w:firstLine="480"/>
      </w:pPr>
    </w:p>
    <w:p>
      <w:r>
        <w:rPr/>
        <w:t>保证人：_______（公章）_______</w:t>
      </w:r>
    </w:p>
    <w:p>
      <w:r>
        <w:rPr/>
        <w:t>联系人：____________________</w:t>
      </w:r>
    </w:p>
    <w:p>
      <w:r>
        <w:rPr/>
        <w:t>联系电话：____________________</w:t>
      </w:r>
    </w:p>
    <w:p>
      <w:r>
        <w:rPr/>
        <w:t>___年___月___日</w:t>
      </w:r>
    </w:p>
    <w:p>
      <w:pPr>
        <w:ind w:firstLine="480"/>
      </w:pPr>
    </w:p>
    <w:p>
      <w:r>
        <w:rPr/>
        <w:t xml:space="preserve"> </w:t>
      </w:r>
    </w:p>
    <w:p/>
    <w:p>
      <w:r>
        <w:rPr>
          <w:b/>
          <w:sz w:val="28"/>
        </w:rPr>
        <w:t>格式二十三：</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